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3B" w:rsidRPr="0042385D" w:rsidRDefault="003D41C3" w:rsidP="00FB691D">
      <w:pPr>
        <w:pStyle w:val="1"/>
        <w:tabs>
          <w:tab w:val="center" w:pos="4743"/>
          <w:tab w:val="right" w:pos="9486"/>
        </w:tabs>
        <w:spacing w:before="120" w:after="120" w:line="480" w:lineRule="auto"/>
        <w:jc w:val="left"/>
        <w:rPr>
          <w:rFonts w:asciiTheme="minorEastAsia" w:eastAsiaTheme="minorEastAsia" w:hAnsiTheme="minorEastAsia"/>
          <w:color w:val="C00000"/>
          <w:sz w:val="28"/>
        </w:rPr>
      </w:pPr>
      <w:bookmarkStart w:id="0" w:name="OLE_LINK3"/>
      <w:bookmarkStart w:id="1" w:name="OLE_LINK4"/>
      <w:r>
        <w:rPr>
          <w:rFonts w:asciiTheme="minorEastAsia" w:eastAsiaTheme="minorEastAsia" w:hAnsiTheme="minorEastAsia"/>
          <w:color w:val="C00000"/>
          <w:sz w:val="24"/>
        </w:rPr>
        <w:tab/>
      </w:r>
      <w:r w:rsidR="00151A4C" w:rsidRPr="00151A4C">
        <w:rPr>
          <w:rFonts w:asciiTheme="minorEastAsia" w:eastAsiaTheme="minorEastAsia" w:hAnsiTheme="minorEastAsia" w:hint="eastAsia"/>
          <w:color w:val="C00000"/>
          <w:sz w:val="28"/>
        </w:rPr>
        <w:t>4大重点区资源投入力度大，10条地铁线新开工</w:t>
      </w:r>
    </w:p>
    <w:p w:rsidR="00002AD9" w:rsidRDefault="00002AD9" w:rsidP="00002AD9">
      <w:pPr>
        <w:jc w:val="right"/>
      </w:pPr>
      <w:r>
        <w:rPr>
          <w:rFonts w:hint="eastAsia"/>
        </w:rPr>
        <w:t>——</w:t>
      </w:r>
      <w:r w:rsidR="00151A4C" w:rsidRPr="00151A4C">
        <w:rPr>
          <w:rFonts w:hint="eastAsia"/>
        </w:rPr>
        <w:t>2017</w:t>
      </w:r>
      <w:r w:rsidR="00151A4C" w:rsidRPr="00151A4C">
        <w:rPr>
          <w:rFonts w:hint="eastAsia"/>
        </w:rPr>
        <w:t>广州规划回顾</w:t>
      </w:r>
    </w:p>
    <w:p w:rsidR="004B44DF" w:rsidRPr="006762E1" w:rsidRDefault="00482FF7" w:rsidP="004B44DF">
      <w:pPr>
        <w:pStyle w:val="2"/>
        <w:spacing w:beforeLines="50" w:before="156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前言</w:t>
      </w:r>
    </w:p>
    <w:p w:rsidR="00A05526" w:rsidRPr="00A05526" w:rsidRDefault="00A05526" w:rsidP="00A0552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A0552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 xml:space="preserve">  </w:t>
      </w:r>
      <w:r w:rsidR="00151A4C" w:rsidRPr="00151A4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2017年广州规划主要可分为“区域重点规划”“地铁及交通基建新布局”以及“旧改推进”三大部分，接下来广州中原研究发展部将为大家逐一回顾分析。</w:t>
      </w:r>
    </w:p>
    <w:p w:rsidR="009879BC" w:rsidRPr="009879BC" w:rsidRDefault="00A05526" w:rsidP="009879BC">
      <w:pPr>
        <w:pStyle w:val="2"/>
        <w:spacing w:beforeLines="50" w:before="156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352C35">
        <w:rPr>
          <w:rFonts w:asciiTheme="minorEastAsia" w:eastAsiaTheme="minorEastAsia" w:hAnsiTheme="minorEastAsia" w:hint="eastAsia"/>
          <w:color w:val="C00000"/>
          <w:sz w:val="24"/>
          <w:szCs w:val="21"/>
        </w:rPr>
        <w:t>【</w:t>
      </w:r>
      <w:r w:rsidR="009879BC" w:rsidRPr="009879BC">
        <w:rPr>
          <w:rFonts w:asciiTheme="minorEastAsia" w:eastAsiaTheme="minorEastAsia" w:hAnsiTheme="minorEastAsia" w:hint="eastAsia"/>
          <w:color w:val="C00000"/>
          <w:sz w:val="24"/>
          <w:szCs w:val="21"/>
        </w:rPr>
        <w:t>区域重点规划</w:t>
      </w:r>
      <w:r w:rsidRPr="00352C35">
        <w:rPr>
          <w:rFonts w:asciiTheme="minorEastAsia" w:eastAsiaTheme="minorEastAsia" w:hAnsiTheme="minorEastAsia" w:hint="eastAsia"/>
          <w:color w:val="C00000"/>
          <w:sz w:val="24"/>
          <w:szCs w:val="21"/>
        </w:rPr>
        <w:t>】</w:t>
      </w:r>
      <w:r w:rsidR="009879BC" w:rsidRPr="009879BC">
        <w:rPr>
          <w:rFonts w:asciiTheme="minorEastAsia" w:eastAsiaTheme="minorEastAsia" w:hAnsiTheme="minorEastAsia" w:hint="eastAsia"/>
          <w:color w:val="C00000"/>
          <w:sz w:val="24"/>
          <w:szCs w:val="21"/>
        </w:rPr>
        <w:t>黄埔、南沙、花都及增城迎来重磅利好</w:t>
      </w:r>
    </w:p>
    <w:p w:rsidR="00C36302" w:rsidRPr="009879BC" w:rsidRDefault="009879BC" w:rsidP="00F5425A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老黄埔：第二CBD定位将刺激区域价值再提升</w:t>
      </w:r>
    </w:p>
    <w:p w:rsidR="00C36302" w:rsidRDefault="00C36302" w:rsidP="00C3630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以</w:t>
      </w:r>
      <w:r w:rsidR="009879BC" w:rsidRPr="00C36302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黄埔临港经济区与金融城组成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“第二CBD”在年初《广州市政府工作报告》中首次被提出，</w:t>
      </w:r>
      <w:r w:rsidR="009879BC" w:rsidRPr="00C363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其功能以发展港航服务、总部经济为主。</w:t>
      </w:r>
    </w:p>
    <w:p w:rsidR="00C36302" w:rsidRPr="00C36302" w:rsidRDefault="00C36302" w:rsidP="00C36302">
      <w:pPr>
        <w:widowControl/>
        <w:spacing w:beforeLines="50" w:before="156" w:line="276" w:lineRule="auto"/>
        <w:ind w:firstLineChars="200" w:firstLine="422"/>
        <w:jc w:val="center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noProof/>
          <w:color w:val="000000" w:themeColor="text1"/>
          <w:kern w:val="0"/>
          <w:szCs w:val="21"/>
        </w:rPr>
        <w:drawing>
          <wp:inline distT="0" distB="0" distL="0" distR="0">
            <wp:extent cx="4635495" cy="3486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00" cy="34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70" w:rsidRDefault="009879BC" w:rsidP="00C3630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为配合这一重磅规划，</w:t>
      </w:r>
      <w:r w:rsidRPr="00C363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包括临江大道东延线</w:t>
      </w:r>
      <w:r w:rsidR="00E0374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（车</w:t>
      </w:r>
      <w:proofErr w:type="gramStart"/>
      <w:r w:rsidR="00E0374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陂</w:t>
      </w:r>
      <w:proofErr w:type="gramEnd"/>
      <w:r w:rsidR="00E0374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-鱼珠）</w:t>
      </w:r>
      <w:r w:rsidRPr="00C363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、鱼珠港南部片区规划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等项目亦在年内有序推进，第二CBD</w:t>
      </w:r>
      <w:r w:rsidR="0043697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黄埔部分各项资源投入加速</w:t>
      </w:r>
      <w:r w:rsidR="00B34FB1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。</w:t>
      </w:r>
    </w:p>
    <w:p w:rsidR="00B34FB1" w:rsidRDefault="00B34FB1" w:rsidP="00B34FB1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另一方面，</w:t>
      </w:r>
      <w:r w:rsidRPr="00B34FB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作为“第二CBD”另一重要组成部分，金融城今年建设速度提高。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首先</w:t>
      </w:r>
      <w:r w:rsidR="00E0374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起步区基础设施及商业配套项目招标在12月完成，总投资达87亿，预计包括道路工程、岭南风情街在内的8个子项目将于</w:t>
      </w:r>
      <w:r w:rsidR="00C5268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两年半内完成。</w:t>
      </w:r>
    </w:p>
    <w:p w:rsidR="00C52689" w:rsidRPr="000F407B" w:rsidRDefault="000F407B" w:rsidP="000F407B">
      <w:pPr>
        <w:pStyle w:val="a6"/>
        <w:keepNext/>
        <w:spacing w:beforeLines="50" w:before="156"/>
        <w:jc w:val="center"/>
        <w:rPr>
          <w:rFonts w:ascii="宋体" w:eastAsia="宋体" w:hAnsi="宋体"/>
          <w:b/>
          <w:color w:val="C00000"/>
          <w:sz w:val="18"/>
          <w:szCs w:val="18"/>
        </w:rPr>
      </w:pPr>
      <w:r w:rsidRPr="009917B3">
        <w:rPr>
          <w:rFonts w:ascii="宋体" w:eastAsia="宋体" w:hAnsi="宋体" w:hint="eastAsia"/>
          <w:b/>
          <w:color w:val="C00000"/>
          <w:sz w:val="18"/>
          <w:szCs w:val="18"/>
        </w:rPr>
        <w:t xml:space="preserve">  </w:t>
      </w:r>
      <w:r>
        <w:rPr>
          <w:rFonts w:ascii="宋体" w:eastAsia="宋体" w:hAnsi="宋体" w:hint="eastAsia"/>
          <w:b/>
          <w:color w:val="C00000"/>
          <w:sz w:val="18"/>
          <w:szCs w:val="18"/>
        </w:rPr>
        <w:t>第二CBD年内部分配套推进项目情况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276"/>
        <w:gridCol w:w="3765"/>
        <w:gridCol w:w="2852"/>
      </w:tblGrid>
      <w:tr w:rsidR="00C52689" w:rsidRPr="00C52689" w:rsidTr="00501411">
        <w:trPr>
          <w:trHeight w:val="270"/>
        </w:trPr>
        <w:tc>
          <w:tcPr>
            <w:tcW w:w="1701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1276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3765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内容</w:t>
            </w:r>
          </w:p>
        </w:tc>
        <w:tc>
          <w:tcPr>
            <w:tcW w:w="0" w:type="auto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评价</w:t>
            </w:r>
          </w:p>
        </w:tc>
      </w:tr>
      <w:tr w:rsidR="00C52689" w:rsidRPr="00C52689" w:rsidTr="00501411">
        <w:trPr>
          <w:trHeight w:val="4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金融城东片区</w:t>
            </w: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集体土地征收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</w:t>
            </w:r>
          </w:p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8月</w:t>
            </w: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前进村集体土地</w:t>
            </w: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面积约11.89万㎡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拓宽金融创新总部和高端科技企业总部企业发展新空间</w:t>
            </w:r>
          </w:p>
        </w:tc>
      </w:tr>
      <w:tr w:rsidR="00C52689" w:rsidRPr="00C52689" w:rsidTr="00501411">
        <w:trPr>
          <w:trHeight w:val="7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金融城</w:t>
            </w:r>
            <w:proofErr w:type="gramStart"/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站综合</w:t>
            </w:r>
            <w:proofErr w:type="gramEnd"/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交通枢纽项目勘察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</w:t>
            </w:r>
          </w:p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9月</w:t>
            </w: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主要建设综合交通枢纽、商业及其他配套设施，包括城际、地铁换乘枢纽及通道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未来金融城将无缝接驳南站、</w:t>
            </w:r>
            <w:proofErr w:type="gramStart"/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</w:t>
            </w:r>
            <w:proofErr w:type="gramEnd"/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洲、白云机场</w:t>
            </w:r>
          </w:p>
        </w:tc>
      </w:tr>
      <w:tr w:rsidR="00C52689" w:rsidRPr="00C52689" w:rsidTr="00501411">
        <w:trPr>
          <w:trHeight w:val="4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起步区基础设施及商业配套PPP项目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AA3983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</w:t>
            </w:r>
          </w:p>
          <w:p w:rsidR="00501411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11月完成</w:t>
            </w:r>
          </w:p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招标</w:t>
            </w: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项目共包括河涌整治工程、公共绿化等，项目总投资87亿元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494241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金融城</w:t>
            </w:r>
          </w:p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建设有望进入新一轮高潮</w:t>
            </w:r>
          </w:p>
        </w:tc>
      </w:tr>
      <w:tr w:rsidR="00C52689" w:rsidRPr="00C52689" w:rsidTr="00501411">
        <w:trPr>
          <w:trHeight w:val="720"/>
        </w:trPr>
        <w:tc>
          <w:tcPr>
            <w:tcW w:w="1701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金融城AT090961地块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2017年12月出让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由南方财经全媒体集团与广州市天河区政府、广东保利、广州产业投资基金合作开发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52689" w:rsidRPr="00C52689" w:rsidRDefault="00C52689" w:rsidP="00C5268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摒弃以往狭隘的金融概念，首次引入媒体，使金融城招商趋于多元</w:t>
            </w:r>
          </w:p>
        </w:tc>
      </w:tr>
      <w:tr w:rsidR="00C52689" w:rsidRPr="00C52689" w:rsidTr="00501411">
        <w:trPr>
          <w:trHeight w:val="27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689" w:rsidRPr="00C52689" w:rsidRDefault="00C52689" w:rsidP="00C52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689" w:rsidRPr="00C52689" w:rsidRDefault="00C52689" w:rsidP="00C5268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617" w:type="dxa"/>
            <w:gridSpan w:val="2"/>
            <w:tcBorders>
              <w:top w:val="single" w:sz="4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2689" w:rsidRPr="00C52689" w:rsidRDefault="00C52689" w:rsidP="00C52689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5268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资料整理：广州中原研究发展部</w:t>
            </w:r>
          </w:p>
        </w:tc>
      </w:tr>
    </w:tbl>
    <w:p w:rsidR="00B34FB1" w:rsidRDefault="009879BC" w:rsidP="00B34FB1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此外，2017年金融城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出让商服地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摒弃了以往相对窄的“金融企业”，首次吸纳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金融类全媒体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企业，广州中原研究发展部认为，这一合作开发模式存在多重分析价值。</w:t>
      </w:r>
    </w:p>
    <w:p w:rsidR="009879BC" w:rsidRPr="00684713" w:rsidRDefault="009879BC" w:rsidP="00684713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首先，金融城招商定位改变，更加贴近广州实际。金融城规划始于2012年，当时产业引进设计仅限于金融总部、金融贸易、金融商业等类别，引入领域相对较窄；</w:t>
      </w:r>
      <w:r w:rsidRPr="0068471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本次首度引进媒体企业可谓“一大突破”，这意味着金融城招商引资趋于多元。</w:t>
      </w:r>
    </w:p>
    <w:p w:rsidR="009879BC" w:rsidRPr="009879BC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目前第二CBD周边在售以二手项目为主，预计未来车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陂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、鱼珠港将有一定量一手项目可供应；作为广州市经济“黄金三角区”的辐射范围，未来周边楼市价值变动潜力较大。</w:t>
      </w:r>
    </w:p>
    <w:p w:rsidR="009879BC" w:rsidRPr="009879BC" w:rsidRDefault="00FF4B92" w:rsidP="00FF4B92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5663690" cy="386771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629_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690" cy="38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C" w:rsidRPr="009879BC" w:rsidRDefault="009879BC" w:rsidP="00F5425A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南沙：自贸区推进更加强调“深度”，拓展新区域步伐加速</w:t>
      </w:r>
    </w:p>
    <w:p w:rsidR="00F34092" w:rsidRPr="00F4492F" w:rsidRDefault="00F34092" w:rsidP="00F3409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在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自贸区、广州唯一副中心等光环的“加持下”，近年南沙发展步伐加快。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为了对南沙近10年发展有更加直观的理解，广州中原研究发展部对</w:t>
      </w:r>
      <w:r w:rsidRPr="00A3657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该区GDP、人口数据进行收集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，情况如图表所示：</w:t>
      </w:r>
    </w:p>
    <w:p w:rsidR="00F34092" w:rsidRPr="00F4492F" w:rsidRDefault="00F34092" w:rsidP="00F34092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lastRenderedPageBreak/>
        <w:drawing>
          <wp:inline distT="0" distB="0" distL="0" distR="0" wp14:anchorId="1313A027" wp14:editId="72F3C471">
            <wp:extent cx="4191000" cy="290512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7年07月06日1144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490" cy="29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92" w:rsidRPr="00F4492F" w:rsidRDefault="00F34092" w:rsidP="00F3409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根据官方数据显示，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南沙2006年GDP为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209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亿，2016年为1279亿，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对比2006年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上涨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5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.1倍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，而对比全市情况，近10年广州整体GDP增幅为2.2倍，由此说明南沙经济发展速度远高于全市水平。</w:t>
      </w:r>
    </w:p>
    <w:p w:rsidR="00720D0D" w:rsidRDefault="00F34092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2017年，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该区在</w:t>
      </w:r>
      <w:r w:rsidR="00720D0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年初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《</w:t>
      </w:r>
      <w:r w:rsidR="00720D0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</w:t>
      </w:r>
      <w:r w:rsidR="00720D0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州市政府工作报告》中单独列出一节，可见官方对其发展重视程度之高。</w:t>
      </w:r>
    </w:p>
    <w:p w:rsidR="00457D55" w:rsidRDefault="00457D55" w:rsidP="00457D55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4BC01E6" wp14:editId="3BA18E53">
            <wp:extent cx="4487537" cy="724852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895" cy="72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0D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其后总理报告中强调积极推进“粤港澳大湾区”发展，南沙的定位将再次被拔高，</w:t>
      </w:r>
      <w:r w:rsidRPr="00720D0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其作为广州的“南大门”，在大湾区中可承建珠江东、西岸资金、航运、人口交流的重要枢纽，其区位战略意义重大；</w:t>
      </w:r>
    </w:p>
    <w:p w:rsidR="009879BC" w:rsidRPr="00720D0D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从自贸区发展的轨迹来看，</w:t>
      </w:r>
      <w:r w:rsidRPr="00720D0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未来南沙极有可能向开放层次更高的“自贸港”方向进步。</w:t>
      </w:r>
    </w:p>
    <w:p w:rsidR="009879BC" w:rsidRPr="003D3064" w:rsidRDefault="009879BC" w:rsidP="00BA07EC">
      <w:pPr>
        <w:widowControl/>
        <w:spacing w:beforeLines="50" w:before="156" w:line="276" w:lineRule="auto"/>
        <w:ind w:firstLineChars="200" w:firstLine="422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BA07E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得益于规划利好以及地铁、交通的推进，2017年南沙成为全市一手成交表现最“稳”的区域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，在整体市场成交下跌3成的情况下，南沙</w:t>
      </w:r>
      <w:r w:rsidR="003D306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全年成交14138宗，同比仅出现6.9%的小幅波动，“稳定”背后</w:t>
      </w:r>
      <w:r w:rsidR="003D3064" w:rsidRPr="003D306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除了充足一手货量</w:t>
      </w:r>
      <w:proofErr w:type="gramStart"/>
      <w:r w:rsidR="003D3064" w:rsidRPr="003D306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供应外</w:t>
      </w:r>
      <w:r w:rsidRPr="003D306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亦离不开</w:t>
      </w:r>
      <w:proofErr w:type="gramEnd"/>
      <w:r w:rsidRPr="003D306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买家、投资者对于南沙发展前景的认可。</w:t>
      </w:r>
    </w:p>
    <w:p w:rsidR="003D3064" w:rsidRPr="009879BC" w:rsidRDefault="003D3064" w:rsidP="003D3064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5048208" cy="383857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7年12月29日1221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92" cy="38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55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除自贸区部分外，2017年该区积极推进大岗、灵山岛、东涌等</w:t>
      </w:r>
      <w:r w:rsidRPr="00457D55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“待开发”区域发展；</w:t>
      </w:r>
    </w:p>
    <w:p w:rsidR="00457D55" w:rsidRPr="00457D55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2017年7月国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规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委对南沙大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岗整体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规划进行公示，拟将其打造为“国际一流先进制造业基地”，此外正加快推进的22号线（广州东站-万顷沙）未来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将途径大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岗，虽然尚未设站，</w:t>
      </w:r>
      <w:r w:rsidRPr="00457D55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但预期随着未来该片区发展需要、人口流入，将会对公共交通进行进一步优化。</w:t>
      </w:r>
    </w:p>
    <w:p w:rsidR="00457D55" w:rsidRDefault="00457D55" w:rsidP="00457D55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5180593" cy="386715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639_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56" cy="387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26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从规划文件来看,大岗基地建设用地面积为712万㎡，43%的面积将用于工业用地开发（约309万㎡）。其建设“产业新城”的方向清晰。</w:t>
      </w:r>
    </w:p>
    <w:p w:rsidR="009879BC" w:rsidRDefault="009879BC" w:rsidP="007909A7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除规划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布局外，2017年灵山岛、东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涌通过出让商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住商服用地吸引投资、人口流入亦值得留意，以灵山岛为例，2017年7月出让两宗商服用地，分布定向金融、交通运输企业，最终由越秀地产以及广东省交通集团有限公司拿地发展；2017年12月，灵山岛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挂牌商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住用地，总占地面积达12.1万㎡，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计容达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30万㎡，保守估计可供7000-8000人居住，这意味着未来2-3年灵山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岛板块商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住商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服建设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将成型。</w:t>
      </w:r>
    </w:p>
    <w:p w:rsidR="0052555C" w:rsidRDefault="0052555C" w:rsidP="0052555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回顾2010年至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今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年南沙公开</w:t>
      </w:r>
      <w:proofErr w:type="gramStart"/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出让商</w:t>
      </w:r>
      <w:proofErr w:type="gramEnd"/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住商服用地情况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历年供地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重点区域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均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离不开</w:t>
      </w:r>
      <w:proofErr w:type="gramStart"/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蕉</w:t>
      </w:r>
      <w:proofErr w:type="gramEnd"/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门河-金洲板块，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该板块目前被</w:t>
      </w:r>
      <w:r w:rsidRPr="00A532C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定位为南沙的政商务中心</w:t>
      </w: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。其中</w:t>
      </w:r>
      <w:proofErr w:type="gramStart"/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蕉</w:t>
      </w:r>
      <w:proofErr w:type="gramEnd"/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门河中心区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近年众多总部落户，发展前景乐观；</w:t>
      </w:r>
    </w:p>
    <w:p w:rsidR="0052555C" w:rsidRPr="00F4492F" w:rsidRDefault="0052555C" w:rsidP="0052555C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 wp14:anchorId="125B48B9" wp14:editId="530197FB">
            <wp:extent cx="5906116" cy="4781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7年07月06日1144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88" cy="47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5C" w:rsidRDefault="0052555C" w:rsidP="00D15BD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2012、2015年地块出让多集中在南沙湾,</w:t>
      </w:r>
      <w:r w:rsidRPr="00DC669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该板块背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山面海，自然环境条件优越加上未来4号线南延段布局，其居住价值近年得到体现，而规划方面，该板块定位为“粤港澳科技创新合作区”。</w:t>
      </w:r>
    </w:p>
    <w:p w:rsidR="0052555C" w:rsidRDefault="0052555C" w:rsidP="00D15BD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proofErr w:type="gramStart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灵山岛尖主要</w:t>
      </w:r>
      <w:proofErr w:type="gramEnd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集中在2014、2015年出让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，在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自贸区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规划中灵山</w:t>
      </w:r>
      <w:proofErr w:type="gramStart"/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岛尖属于</w:t>
      </w:r>
      <w:proofErr w:type="gramEnd"/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明珠湾起步区，该区主要定向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出让土地予中交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、南沙城投</w:t>
      </w:r>
      <w:r w:rsidRPr="00F4492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，通过企业+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政府的模式共建明珠湾起步区，该板块功能定位为金融商务发展试验区；</w:t>
      </w:r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值得一提的是</w:t>
      </w:r>
      <w:r w:rsid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</w:t>
      </w:r>
      <w:proofErr w:type="gramStart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灵山岛尖</w:t>
      </w:r>
      <w:r w:rsid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3</w:t>
      </w:r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宗</w:t>
      </w:r>
      <w:proofErr w:type="gramEnd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商服用地</w:t>
      </w:r>
      <w:r w:rsid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通过定向出让引入越秀、广东省交通集团以及中金国际贸易三家实力企业，</w:t>
      </w:r>
      <w:r w:rsidR="00D15BD6" w:rsidRPr="00D15BD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对于未来灵山岛</w:t>
      </w:r>
      <w:proofErr w:type="gramStart"/>
      <w:r w:rsidR="00D15BD6" w:rsidRPr="00D15BD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建设产城小镇</w:t>
      </w:r>
      <w:proofErr w:type="gramEnd"/>
      <w:r w:rsidR="00D15BD6" w:rsidRPr="00D15BD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具有重大意义</w:t>
      </w:r>
      <w:r w:rsid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；</w:t>
      </w:r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此外，黄</w:t>
      </w:r>
      <w:proofErr w:type="gramStart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阁连续</w:t>
      </w:r>
      <w:proofErr w:type="gramEnd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2年保持用地供应，预期未来黄</w:t>
      </w:r>
      <w:proofErr w:type="gramStart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阁板块</w:t>
      </w:r>
      <w:proofErr w:type="gramEnd"/>
      <w:r w:rsidRPr="00D15BD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居住氛围将变浓。</w:t>
      </w:r>
    </w:p>
    <w:p w:rsidR="007909A7" w:rsidRPr="00D15BD6" w:rsidRDefault="007909A7" w:rsidP="00D15BD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</w:p>
    <w:p w:rsidR="009879BC" w:rsidRPr="00F5425A" w:rsidRDefault="009879BC" w:rsidP="00F5425A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F5425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lastRenderedPageBreak/>
        <w:t>花都：航运枢纽辐射范围扩大，</w:t>
      </w:r>
      <w:r w:rsidR="002071A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地铁线网</w:t>
      </w:r>
      <w:r w:rsidR="0007495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完善</w:t>
      </w:r>
      <w:r w:rsidR="002071A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刺激区域价值</w:t>
      </w:r>
    </w:p>
    <w:p w:rsidR="00E7524F" w:rsidRDefault="009879BC" w:rsidP="00E7524F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该区2017年规划、资源投入表现进取,其中空港区</w:t>
      </w:r>
      <w:r w:rsid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累计引入投资达700亿，其针对“</w:t>
      </w:r>
      <w:r w:rsidR="00CC5A84" w:rsidRP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产、城、人</w:t>
      </w:r>
      <w:r w:rsid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”重点发力，目前空港区周边有多个产业园、</w:t>
      </w:r>
      <w:proofErr w:type="gramStart"/>
      <w:r w:rsid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商服区积极</w:t>
      </w:r>
      <w:proofErr w:type="gramEnd"/>
      <w:r w:rsid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引导人流、产业落户。</w:t>
      </w:r>
    </w:p>
    <w:p w:rsidR="00C71C43" w:rsidRDefault="00C71C43" w:rsidP="00C71C43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4632187" cy="33337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654_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574" cy="333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B6" w:rsidRDefault="00CA13B6" w:rsidP="00CA13B6">
      <w:pPr>
        <w:widowControl/>
        <w:spacing w:beforeLines="50" w:before="156" w:line="276" w:lineRule="auto"/>
        <w:ind w:firstLineChars="200" w:firstLine="361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="宋体" w:hAnsi="宋体" w:hint="eastAsia"/>
          <w:b/>
          <w:color w:val="C00000"/>
          <w:sz w:val="18"/>
          <w:szCs w:val="18"/>
        </w:rPr>
        <w:t>2017年内部分空港区规划</w:t>
      </w:r>
    </w:p>
    <w:tbl>
      <w:tblPr>
        <w:tblW w:w="9068" w:type="dxa"/>
        <w:jc w:val="center"/>
        <w:tblInd w:w="108" w:type="dxa"/>
        <w:tblLook w:val="04A0" w:firstRow="1" w:lastRow="0" w:firstColumn="1" w:lastColumn="0" w:noHBand="0" w:noVBand="1"/>
      </w:tblPr>
      <w:tblGrid>
        <w:gridCol w:w="3056"/>
        <w:gridCol w:w="2416"/>
        <w:gridCol w:w="3596"/>
      </w:tblGrid>
      <w:tr w:rsidR="00CA13B6" w:rsidRPr="00CA13B6" w:rsidTr="00CA13B6">
        <w:trPr>
          <w:trHeight w:val="270"/>
          <w:jc w:val="center"/>
        </w:trPr>
        <w:tc>
          <w:tcPr>
            <w:tcW w:w="3056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产业新政</w:t>
            </w:r>
          </w:p>
        </w:tc>
        <w:tc>
          <w:tcPr>
            <w:tcW w:w="2416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推出时间</w:t>
            </w:r>
          </w:p>
        </w:tc>
        <w:tc>
          <w:tcPr>
            <w:tcW w:w="3596" w:type="dxa"/>
            <w:tcBorders>
              <w:top w:val="single" w:sz="4" w:space="0" w:color="C0504D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重点内容</w:t>
            </w:r>
          </w:p>
        </w:tc>
      </w:tr>
      <w:tr w:rsidR="00CA13B6" w:rsidRPr="00CA13B6" w:rsidTr="00CA13B6">
        <w:trPr>
          <w:trHeight w:val="1110"/>
          <w:jc w:val="center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关于加快空港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经济区开发建设的意见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2017年8月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A13B6" w:rsidRPr="00CA13B6" w:rsidRDefault="00CA13B6" w:rsidP="00CA13B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1.推进穗</w:t>
            </w:r>
            <w:proofErr w:type="gramStart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莞</w:t>
            </w:r>
            <w:proofErr w:type="gramEnd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深、北站-空港-南沙轨道建设；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2.打造六大航空产业群；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3.2020年基建设施基本完善；</w:t>
            </w:r>
          </w:p>
        </w:tc>
      </w:tr>
      <w:tr w:rsidR="00CA13B6" w:rsidRPr="00CA13B6" w:rsidTr="00CA13B6">
        <w:trPr>
          <w:trHeight w:val="1695"/>
          <w:jc w:val="center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《推进广州国际航空枢纽和临空经济示范区建设三年行动计划》（2017-2019年）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2017年9月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3B6" w:rsidRPr="00CA13B6" w:rsidRDefault="00CA13B6" w:rsidP="00CA13B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1.3年内积极引导产业投资破3</w:t>
            </w:r>
            <w:proofErr w:type="gramStart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千亿</w:t>
            </w:r>
            <w:proofErr w:type="gramEnd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；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2.到2019年，白云国际机场旅客吞吐量达7200万人次；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3.北站枢纽、迎宾大道等道路网络化</w:t>
            </w:r>
          </w:p>
        </w:tc>
      </w:tr>
      <w:tr w:rsidR="00CA13B6" w:rsidRPr="00CA13B6" w:rsidTr="00CA13B6">
        <w:trPr>
          <w:trHeight w:val="720"/>
          <w:jc w:val="center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修订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《广州空港经济区管理试行办法》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2017年9月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A13B6" w:rsidRPr="00CA13B6" w:rsidRDefault="00CA13B6" w:rsidP="00CA13B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1.区域收储土地分成改革；</w:t>
            </w: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2.部分职能下发，提高空港区行政效率；</w:t>
            </w:r>
          </w:p>
        </w:tc>
      </w:tr>
      <w:tr w:rsidR="00CA13B6" w:rsidRPr="00CA13B6" w:rsidTr="00CA13B6">
        <w:trPr>
          <w:trHeight w:val="720"/>
          <w:jc w:val="center"/>
        </w:trPr>
        <w:tc>
          <w:tcPr>
            <w:tcW w:w="3056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广州空港经济区规划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2017年12月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vAlign w:val="center"/>
            <w:hideMark/>
          </w:tcPr>
          <w:p w:rsidR="00CA13B6" w:rsidRPr="00CA13B6" w:rsidRDefault="00CA13B6" w:rsidP="00CA13B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规划人口达220万，官方投入3</w:t>
            </w:r>
            <w:proofErr w:type="gramStart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千亿</w:t>
            </w:r>
            <w:proofErr w:type="gramEnd"/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升级基建以及引导人才落户，按照产、城、人一体化发展</w:t>
            </w:r>
          </w:p>
        </w:tc>
      </w:tr>
      <w:tr w:rsidR="00CA13B6" w:rsidRPr="00CA13B6" w:rsidTr="00CA13B6">
        <w:trPr>
          <w:trHeight w:val="270"/>
          <w:jc w:val="center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3B6" w:rsidRPr="00CA13B6" w:rsidRDefault="00CA13B6" w:rsidP="00CA13B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13B6" w:rsidRPr="00CA13B6" w:rsidRDefault="00CA13B6" w:rsidP="00CA13B6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CA1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整理：广州中原研究发展部</w:t>
            </w:r>
          </w:p>
        </w:tc>
      </w:tr>
    </w:tbl>
    <w:p w:rsidR="00CA13B6" w:rsidRPr="00CA13B6" w:rsidRDefault="00413F23" w:rsidP="00413F23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政策文件从各方面为</w:t>
      </w:r>
      <w:r w:rsidR="008C0C4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空港区“产城结合”发展保驾护航，而相比起周边区域招商引资，空港</w:t>
      </w:r>
      <w:proofErr w:type="gramStart"/>
      <w:r w:rsidR="008C0C4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区产业</w:t>
      </w:r>
      <w:proofErr w:type="gramEnd"/>
      <w:r w:rsidR="008C0C4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发展方向性更强，同时存在独特性，因此具有一定发展优势。</w:t>
      </w:r>
    </w:p>
    <w:p w:rsidR="009879BC" w:rsidRDefault="00E7524F" w:rsidP="00E7524F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针对空港发展前景，广州中原研究发展部通过对比“北广深”三座城市的规划进行统计汇总：</w:t>
      </w:r>
    </w:p>
    <w:p w:rsidR="00E7524F" w:rsidRDefault="00E7524F" w:rsidP="00E7524F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4619625" cy="3197602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647_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00" cy="32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4F" w:rsidRDefault="00CC5A84" w:rsidP="00CC5A84">
      <w:pPr>
        <w:widowControl/>
        <w:spacing w:beforeLines="50" w:before="156" w:line="276" w:lineRule="auto"/>
        <w:ind w:firstLineChars="200" w:firstLine="422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综合而言，</w:t>
      </w:r>
      <w:r w:rsidR="00E7524F" w:rsidRPr="00E7524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广州空港区面积适中，能够发挥“集中力量办大事”的效果</w:t>
      </w:r>
      <w:r w:rsidR="00E7524F" w:rsidRPr="00E7524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，避免将战线延伸太长，不至于将建设效益摊薄。在规划下发的同时，频密在白云新城、人和（航空产业基地</w:t>
      </w:r>
      <w:r w:rsidR="00E7524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，预计将成为2018年出让地重点之一）通过定向引资的方式出让地块，以吸引优质企业进驻。</w:t>
      </w:r>
    </w:p>
    <w:p w:rsidR="00504D9D" w:rsidRDefault="00CC5A84" w:rsidP="00CC5A84">
      <w:pPr>
        <w:widowControl/>
        <w:spacing w:beforeLines="50" w:before="156" w:line="276" w:lineRule="auto"/>
        <w:ind w:firstLineChars="200" w:firstLine="422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另一方面，</w:t>
      </w:r>
      <w:r w:rsidRPr="00CC5A8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年东西贯穿花都的9号线通车，其可与3</w:t>
      </w:r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号线接驳；这意味着该区未来将成天河北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</w:t>
      </w:r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珠江新城、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客村等</w:t>
      </w:r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重点商务</w:t>
      </w:r>
      <w:proofErr w:type="gramStart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区其中</w:t>
      </w:r>
      <w:proofErr w:type="gramEnd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一个重要的人流疏散点；此外地铁8号线北延段于2017年内落实预计2022年前完工，届时花都将可地铁直达</w:t>
      </w:r>
      <w:proofErr w:type="gramStart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琶</w:t>
      </w:r>
      <w:proofErr w:type="gramEnd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洲，来往市区时间</w:t>
      </w:r>
      <w:proofErr w:type="gramStart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亦控制</w:t>
      </w:r>
      <w:proofErr w:type="gramEnd"/>
      <w:r w:rsid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在1小时内。</w:t>
      </w:r>
    </w:p>
    <w:p w:rsidR="00CC5A84" w:rsidRDefault="00504D9D" w:rsidP="00504D9D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广州中原研究发展部认为，目前花都部分优质二手项目仍处于</w:t>
      </w:r>
      <w:r w:rsidR="000C5DE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1.4-2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万元/</w:t>
      </w:r>
      <w:r w:rsidRPr="00504D9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㎡</w:t>
      </w:r>
      <w:r w:rsidR="000C5DE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的</w:t>
      </w:r>
      <w:bookmarkStart w:id="2" w:name="_GoBack"/>
      <w:bookmarkEnd w:id="2"/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水平，对比外围区以及白云北部区域存在一定价格优质，通勤效率提高将刺激中心区上班族北移至该区。</w:t>
      </w:r>
    </w:p>
    <w:p w:rsidR="00504D9D" w:rsidRPr="00504D9D" w:rsidRDefault="00504D9D" w:rsidP="00504D9D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5158745" cy="3431907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3日1747_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64" cy="34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C" w:rsidRDefault="00CC5A84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此外</w:t>
      </w:r>
      <w:r w:rsidR="009879BC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 w:rsidR="009879BC" w:rsidRPr="008D63E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2017年花都</w:t>
      </w:r>
      <w:proofErr w:type="gramStart"/>
      <w:r w:rsidR="009879BC" w:rsidRPr="008D63E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通过土拍引入</w:t>
      </w:r>
      <w:proofErr w:type="gramEnd"/>
      <w:r w:rsidR="009879BC" w:rsidRPr="008D63E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企业推动花都湖、中轴线两大项目发展</w:t>
      </w:r>
      <w:r w:rsidR="00062C3B" w:rsidRPr="008D63E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。</w:t>
      </w:r>
      <w:r w:rsid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</w:t>
      </w:r>
      <w:r w:rsidR="009078AB"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5月，广州市国</w:t>
      </w:r>
      <w:proofErr w:type="gramStart"/>
      <w:r w:rsidR="009078AB"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规</w:t>
      </w:r>
      <w:proofErr w:type="gramEnd"/>
      <w:r w:rsidR="009078AB"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委通过了《花都湖地区居住组团控制性详细规划》，将对花都湖周边区域进行统筹开发，预计将打造成为居住人口达26万的“滨水新城”。</w:t>
      </w:r>
    </w:p>
    <w:p w:rsidR="00062C3B" w:rsidRDefault="009078AB" w:rsidP="009078AB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5034577" cy="391472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658_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763" cy="39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E0" w:rsidRDefault="009078AB" w:rsidP="008D63E0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花都湖地区不建“巨无霸社区”，未来将按照“小街区、密路网”的概念进行规划；根据官方介绍，未来社区中路网实现全开放，未来每宗居住地块用地面积将控制在3万㎡左右。</w: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216"/>
        <w:gridCol w:w="1331"/>
        <w:gridCol w:w="1331"/>
        <w:gridCol w:w="1855"/>
      </w:tblGrid>
      <w:tr w:rsidR="00611908" w:rsidRPr="00611908" w:rsidTr="00611908">
        <w:trPr>
          <w:trHeight w:val="270"/>
          <w:jc w:val="center"/>
        </w:trPr>
        <w:tc>
          <w:tcPr>
            <w:tcW w:w="0" w:type="auto"/>
            <w:gridSpan w:val="4"/>
            <w:tcBorders>
              <w:top w:val="single" w:sz="4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花都湖地区用地规划情况一览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总用地面积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规划人口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规划定位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68万㎡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26万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花都滨水新城区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用地性质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用地面积</w:t>
            </w: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（万㎡）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计容建面</w:t>
            </w:r>
            <w:proofErr w:type="gramEnd"/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（万㎡）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区域布局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居住用地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57.23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地块东、北部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商服用地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地块西部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产业用地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地块南部</w:t>
            </w:r>
          </w:p>
        </w:tc>
      </w:tr>
      <w:tr w:rsidR="00611908" w:rsidRPr="00611908" w:rsidTr="00611908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1908" w:rsidRPr="00611908" w:rsidRDefault="00611908" w:rsidP="00611908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来源：广州市国</w:t>
            </w:r>
            <w:proofErr w:type="gramStart"/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规</w:t>
            </w:r>
            <w:proofErr w:type="gramEnd"/>
            <w:r w:rsidRPr="006119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委 整理：广州中原研究发展部</w:t>
            </w:r>
          </w:p>
        </w:tc>
      </w:tr>
    </w:tbl>
    <w:p w:rsidR="009078AB" w:rsidRDefault="009078AB" w:rsidP="008D63E0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广州中原研究发展部认为，花都湖地区运用“小街区”模式，将有利于引入更多数量的房企对片区进行开发，从而提高整体开发效率，花都</w:t>
      </w:r>
      <w:proofErr w:type="gramStart"/>
      <w:r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湖规划</w:t>
      </w:r>
      <w:proofErr w:type="gramEnd"/>
      <w:r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有望在较短时间内达到预期发展目标；</w:t>
      </w:r>
    </w:p>
    <w:p w:rsidR="00CC5A84" w:rsidRDefault="009078AB" w:rsidP="00AE7001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078A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，以目前番禺思科智慧城、南沙明珠湾片区的开发模式为例，花都湖地块出让以“引进产业、招商引资、指定企业进驻”作为出让条件之一，更多房企参与其中，能给予片区产业、商业用地尽快带来不同类型投资。</w:t>
      </w:r>
    </w:p>
    <w:p w:rsidR="009879BC" w:rsidRDefault="009078AB" w:rsidP="00A763C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此外，</w:t>
      </w:r>
      <w:r w:rsidR="00062C3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</w:t>
      </w:r>
      <w:r w:rsidR="00062C3B" w:rsidRPr="00062C3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年8月保利地产拿下占地14.9万㎡中轴线融资地块</w:t>
      </w:r>
      <w:proofErr w:type="gramStart"/>
      <w:r w:rsidR="00062C3B" w:rsidRPr="00062C3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一</w:t>
      </w:r>
      <w:proofErr w:type="gramEnd"/>
      <w:r w:rsidR="00062C3B" w:rsidRPr="00062C3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。此前花都中轴线建设由于规划、资源投入等问题已扰攘多时</w:t>
      </w:r>
      <w:r w:rsidR="00062C3B" w:rsidRPr="00062C3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，如今顺利由千亿房企保利接手开发运营，其建设速度有望提高。</w:t>
      </w:r>
    </w:p>
    <w:p w:rsidR="009879BC" w:rsidRPr="004404D6" w:rsidRDefault="009879BC" w:rsidP="004404D6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4404D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lastRenderedPageBreak/>
        <w:t>增城：永和、新塘新添高速路，名企布局产业发展注重“质量”</w:t>
      </w:r>
    </w:p>
    <w:p w:rsidR="009879BC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2017年该区主要着力发展“交通枢纽”以及“招商引资”两方面。继早年开展的TOD、穗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莞深城轨等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项目有序推进外，</w:t>
      </w:r>
      <w:r w:rsidRPr="008016B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今年该区公布了新塘-天河高速公路招标以及临江大道</w:t>
      </w:r>
      <w:proofErr w:type="gramStart"/>
      <w:r w:rsidRPr="008016B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东延新塘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，这将提高增城永和、新塘等居住板块通往中心区的通勤效率。</w:t>
      </w:r>
    </w:p>
    <w:p w:rsidR="00986C79" w:rsidRPr="009879BC" w:rsidRDefault="00986C79" w:rsidP="00986C79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4743450" cy="3117297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710_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48" cy="31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C" w:rsidRDefault="009879BC" w:rsidP="008016B7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两条线路设计站点主要为增城交通基建完善程度相对较低的地区，</w:t>
      </w:r>
      <w:r w:rsidR="00A10D5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短期内无地铁规划。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从楼市开发的情况来看，由于新塘一手住宅可售量少，</w:t>
      </w:r>
      <w:r w:rsidR="005F52D5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预计未来</w:t>
      </w:r>
      <w:r w:rsidR="00B4239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永和</w:t>
      </w:r>
      <w:r w:rsidR="005F52D5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、仙村</w:t>
      </w:r>
      <w:r w:rsidRPr="008016B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等</w:t>
      </w:r>
      <w:r w:rsidR="00B4239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板块</w:t>
      </w:r>
      <w:r w:rsidR="005F52D5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将会</w:t>
      </w:r>
      <w:r w:rsidR="00AE5B7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楼市</w:t>
      </w:r>
      <w:r w:rsidRPr="008016B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重点开发区域，因此</w:t>
      </w:r>
      <w:r w:rsidR="00B4239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开通高速路将有利于日后上述板块业主来往市区</w:t>
      </w:r>
      <w:r w:rsidRPr="008016B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。</w:t>
      </w:r>
    </w:p>
    <w:p w:rsidR="008016B7" w:rsidRPr="008016B7" w:rsidRDefault="008016B7" w:rsidP="008016B7">
      <w:pPr>
        <w:widowControl/>
        <w:spacing w:beforeLines="50" w:before="156" w:line="276" w:lineRule="auto"/>
        <w:ind w:firstLineChars="200" w:firstLine="422"/>
        <w:jc w:val="center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noProof/>
          <w:color w:val="000000" w:themeColor="text1"/>
          <w:kern w:val="0"/>
          <w:szCs w:val="21"/>
        </w:rPr>
        <w:drawing>
          <wp:inline distT="0" distB="0" distL="0" distR="0">
            <wp:extent cx="5362575" cy="226239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712_3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69" cy="22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C" w:rsidRPr="00B32F99" w:rsidRDefault="009879BC" w:rsidP="008016B7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未来</w:t>
      </w:r>
      <w:r w:rsidR="003159C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两条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线路将</w:t>
      </w:r>
      <w:r w:rsidR="003159C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与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已有的广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园快速路平衡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布局，</w:t>
      </w:r>
      <w:r w:rsidRPr="00B32F9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将成为增城人口密集区来往中心区的“大动脉”，有利于引导住居人口往增城流入，减轻市中心压力。</w:t>
      </w:r>
    </w:p>
    <w:p w:rsidR="00B32F99" w:rsidRPr="00B2664A" w:rsidRDefault="009879BC" w:rsidP="004404D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另一方面，增城2017年招商引资能力不容小觑，</w:t>
      </w:r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其通过</w:t>
      </w:r>
      <w:proofErr w:type="gramStart"/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出让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产城地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的方式</w:t>
      </w:r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吸引包括碧</w:t>
      </w:r>
      <w:proofErr w:type="gramStart"/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桂园</w:t>
      </w:r>
      <w:proofErr w:type="gramEnd"/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、新世界、丰乐等名企进驻，2017年12月该区挂牌</w:t>
      </w:r>
      <w:proofErr w:type="gramStart"/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朱村凤岗</w:t>
      </w:r>
      <w:proofErr w:type="gramEnd"/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村地块，积极引入“8K科技小镇”落户。</w:t>
      </w:r>
    </w:p>
    <w:p w:rsidR="00D96E3C" w:rsidRPr="00D96E3C" w:rsidRDefault="00D96E3C" w:rsidP="00D96E3C">
      <w:pPr>
        <w:pStyle w:val="a6"/>
        <w:keepNext/>
        <w:spacing w:beforeLines="50" w:before="156"/>
        <w:jc w:val="center"/>
        <w:rPr>
          <w:rFonts w:ascii="宋体" w:eastAsia="宋体" w:hAnsi="宋体"/>
          <w:b/>
          <w:color w:val="C00000"/>
          <w:sz w:val="18"/>
          <w:szCs w:val="18"/>
        </w:rPr>
      </w:pPr>
      <w:r>
        <w:rPr>
          <w:rFonts w:ascii="宋体" w:eastAsia="宋体" w:hAnsi="宋体" w:hint="eastAsia"/>
          <w:b/>
          <w:color w:val="C00000"/>
          <w:sz w:val="18"/>
          <w:szCs w:val="18"/>
        </w:rPr>
        <w:t>2017年增城公开出让6宗“产城融合”地块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1272"/>
        <w:gridCol w:w="1037"/>
        <w:gridCol w:w="1254"/>
        <w:gridCol w:w="936"/>
        <w:gridCol w:w="756"/>
        <w:gridCol w:w="1115"/>
        <w:gridCol w:w="2648"/>
      </w:tblGrid>
      <w:tr w:rsidR="00DE3E3E" w:rsidRPr="00DE3E3E" w:rsidTr="00793FB9">
        <w:trPr>
          <w:trHeight w:val="450"/>
        </w:trPr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区域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地块</w:t>
            </w:r>
          </w:p>
        </w:tc>
        <w:tc>
          <w:tcPr>
            <w:tcW w:w="103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用地面积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(万㎡)</w:t>
            </w:r>
          </w:p>
        </w:tc>
        <w:tc>
          <w:tcPr>
            <w:tcW w:w="1254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出让时间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竞</w:t>
            </w:r>
            <w:proofErr w:type="gramStart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得单位</w:t>
            </w:r>
            <w:proofErr w:type="gramEnd"/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成交价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（亿）</w:t>
            </w:r>
          </w:p>
        </w:tc>
        <w:tc>
          <w:tcPr>
            <w:tcW w:w="1115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楼面地价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（元/㎡）</w:t>
            </w:r>
          </w:p>
        </w:tc>
        <w:tc>
          <w:tcPr>
            <w:tcW w:w="2648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备注</w:t>
            </w:r>
          </w:p>
        </w:tc>
      </w:tr>
      <w:tr w:rsidR="00DE3E3E" w:rsidRPr="00DE3E3E" w:rsidTr="00793FB9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荔</w:t>
            </w:r>
            <w:proofErr w:type="gramEnd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城街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金星村A17041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1.9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2017/7/31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碧</w:t>
            </w:r>
            <w:proofErr w:type="gramStart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桂园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13.30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8237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引进建筑行业（建筑工程）甲级资质设计公司的华南区域设计总部</w:t>
            </w:r>
          </w:p>
        </w:tc>
      </w:tr>
      <w:tr w:rsidR="00DE3E3E" w:rsidRPr="00DE3E3E" w:rsidTr="00793FB9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长岗村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A17048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4.3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2017/7/31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保利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25.26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8340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引进具备独立结算功能金融产业全国总部、区域总部或功能性总部</w:t>
            </w:r>
          </w:p>
        </w:tc>
      </w:tr>
      <w:tr w:rsidR="00DE3E3E" w:rsidRPr="00DE3E3E" w:rsidTr="00793FB9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长岗村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A17083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3.5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2017/10/19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新世界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20.85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8340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引进独立结算功能的内地投资公司华南区域总部</w:t>
            </w:r>
          </w:p>
        </w:tc>
      </w:tr>
      <w:tr w:rsidR="00DE3E3E" w:rsidRPr="00DE3E3E" w:rsidTr="00793FB9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塘美村</w:t>
            </w:r>
            <w:proofErr w:type="gramEnd"/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A17099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2.5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2017/10/24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丰乐集团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6.21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5890 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引进能源产业链总部</w:t>
            </w:r>
          </w:p>
        </w:tc>
      </w:tr>
      <w:tr w:rsidR="00DE3E3E" w:rsidRPr="00DE3E3E" w:rsidTr="00793FB9">
        <w:trPr>
          <w:trHeight w:val="4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凤岗村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A17027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11.6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2018/1/15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引进8k硬件系统研发企业</w:t>
            </w:r>
          </w:p>
        </w:tc>
      </w:tr>
      <w:tr w:rsidR="00DE3E3E" w:rsidRPr="00DE3E3E" w:rsidTr="00793FB9">
        <w:trPr>
          <w:trHeight w:val="660"/>
        </w:trPr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凤岗村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A17026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10.8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2018/1/15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vAlign w:val="center"/>
            <w:hideMark/>
          </w:tcPr>
          <w:p w:rsidR="00DE3E3E" w:rsidRPr="00DE3E3E" w:rsidRDefault="00DE3E3E" w:rsidP="00DE3E3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引进8k影视</w:t>
            </w: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技术运营及相关产业的企业</w:t>
            </w:r>
          </w:p>
        </w:tc>
      </w:tr>
      <w:tr w:rsidR="00DE3E3E" w:rsidRPr="00DE3E3E" w:rsidTr="00DE3E3E">
        <w:trPr>
          <w:trHeight w:val="270"/>
        </w:trPr>
        <w:tc>
          <w:tcPr>
            <w:tcW w:w="95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3E3E" w:rsidRPr="00DE3E3E" w:rsidRDefault="00DE3E3E" w:rsidP="00DE3E3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E3E3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制图：广州中原研究发展部</w:t>
            </w:r>
          </w:p>
        </w:tc>
      </w:tr>
    </w:tbl>
    <w:p w:rsidR="009879BC" w:rsidRDefault="009879BC" w:rsidP="004404D6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广州中原研究发展部认为，科技小镇</w:t>
      </w:r>
      <w:r w:rsidR="00B2664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落成</w:t>
      </w:r>
      <w:r w:rsidR="00DE3E3E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、名企进驻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表现了增城未来发展更加注重“质量”，从目前名企入驻新塘、永和、朱村的情况来看，</w:t>
      </w:r>
      <w:r w:rsidRPr="00B32F9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增城并不仅限于作为中心区的“睡城”，大批优质企业落户意味着高精尖劳动人才将在未来3-5年内大量流入，对于未来区域楼市需求将起到拉动作用。</w:t>
      </w:r>
    </w:p>
    <w:p w:rsidR="009879BC" w:rsidRPr="004404D6" w:rsidRDefault="004404D6" w:rsidP="004404D6">
      <w:pPr>
        <w:pStyle w:val="2"/>
        <w:spacing w:beforeLines="50" w:before="156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【地铁建设】</w:t>
      </w:r>
      <w:r w:rsidR="009879BC" w:rsidRPr="004404D6">
        <w:rPr>
          <w:rFonts w:asciiTheme="minorEastAsia" w:eastAsiaTheme="minorEastAsia" w:hAnsiTheme="minorEastAsia" w:hint="eastAsia"/>
          <w:color w:val="C00000"/>
          <w:sz w:val="24"/>
          <w:szCs w:val="21"/>
        </w:rPr>
        <w:t>第三期建设规划公布，10条线路紧密各区连接</w:t>
      </w:r>
    </w:p>
    <w:p w:rsidR="00AA5D4F" w:rsidRDefault="009879BC" w:rsidP="00AA030A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2017年3月《第三期地铁建设规划》获批，包括18、22、3号线东延在内的10条地铁线路将在2017-2022年期间建设推进。</w:t>
      </w:r>
      <w:r w:rsidRPr="00AA5D4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10条线路中，18、22属于“南沙快线”，将有利于南沙通往天河、</w:t>
      </w:r>
      <w:proofErr w:type="gramStart"/>
      <w:r w:rsidRPr="00AA5D4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荔</w:t>
      </w:r>
      <w:proofErr w:type="gramEnd"/>
      <w:r w:rsidRPr="00AA5D4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湾等中心区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；</w:t>
      </w:r>
    </w:p>
    <w:p w:rsidR="00AA5D4F" w:rsidRDefault="00AA5D4F" w:rsidP="00AA5D4F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3819525" cy="38195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725_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748" cy="381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E6B" w:rsidRDefault="009879BC" w:rsidP="00AA5D4F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另外，本轮地铁计划中针对“广州人口第一大区”白云将设计3条线路，加上已开通的2、3号线，在建的11号线，14号线一期，该区未来地铁网路布局发达；</w:t>
      </w:r>
    </w:p>
    <w:p w:rsidR="009879BC" w:rsidRDefault="009879BC" w:rsidP="00687E6B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将覆盖包括三元里-新市、黄石路、嘉禾望岗在内的多个热门居住板块；另一方面目前白云二手项目价格整体上比越秀、海珠等老城区低，相比之下性价比较高。</w:t>
      </w:r>
      <w:r w:rsidR="00687E6B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预计未来3-5年内该区交通轨道线网不断改善，加上</w:t>
      </w:r>
      <w:proofErr w:type="gramStart"/>
      <w:r w:rsidR="00687E6B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三旧改造</w:t>
      </w:r>
      <w:proofErr w:type="gramEnd"/>
      <w:r w:rsidR="00687E6B"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效率提高，产业园落成、投入使用情况可观以及空港相关产业落地，该区未来发展前景可观，市场价值或被进一步激发。</w:t>
      </w:r>
    </w:p>
    <w:p w:rsidR="00687E6B" w:rsidRPr="00687E6B" w:rsidRDefault="00687E6B" w:rsidP="00687E6B">
      <w:pPr>
        <w:pStyle w:val="a6"/>
        <w:keepNext/>
        <w:spacing w:beforeLines="50" w:before="156"/>
        <w:jc w:val="center"/>
        <w:rPr>
          <w:rFonts w:ascii="宋体" w:eastAsia="宋体" w:hAnsi="宋体"/>
          <w:b/>
          <w:color w:val="C00000"/>
          <w:sz w:val="18"/>
          <w:szCs w:val="18"/>
        </w:rPr>
      </w:pPr>
      <w:r>
        <w:rPr>
          <w:rFonts w:ascii="宋体" w:eastAsia="宋体" w:hAnsi="宋体" w:hint="eastAsia"/>
          <w:b/>
          <w:color w:val="C00000"/>
          <w:sz w:val="18"/>
          <w:szCs w:val="18"/>
        </w:rPr>
        <w:t>2017年10条新建地铁线周边房价情况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66"/>
        <w:gridCol w:w="2316"/>
        <w:gridCol w:w="2716"/>
      </w:tblGrid>
      <w:tr w:rsidR="00687E6B" w:rsidRPr="00687E6B" w:rsidTr="00687E6B">
        <w:trPr>
          <w:trHeight w:val="480"/>
          <w:jc w:val="center"/>
        </w:trPr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线路名称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走向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涉及重点</w:t>
            </w: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楼市板块</w:t>
            </w:r>
            <w:proofErr w:type="gramEnd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（万元/㎡）</w:t>
            </w:r>
          </w:p>
        </w:tc>
      </w:tr>
      <w:tr w:rsidR="00687E6B" w:rsidRPr="00687E6B" w:rsidTr="00687E6B">
        <w:trPr>
          <w:trHeight w:val="4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3号线东延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番禺广场-</w:t>
            </w: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海傍站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亚运城一手2.4-2.5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番禺广场二手2.3-3</w:t>
            </w:r>
          </w:p>
        </w:tc>
      </w:tr>
      <w:tr w:rsidR="00687E6B" w:rsidRPr="00687E6B" w:rsidTr="00687E6B">
        <w:trPr>
          <w:trHeight w:val="4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5号线东延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文冲-黄埔客运港站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文冲-庙头二手2.4-3.7</w:t>
            </w:r>
          </w:p>
        </w:tc>
      </w:tr>
      <w:tr w:rsidR="00687E6B" w:rsidRPr="00687E6B" w:rsidTr="00687E6B">
        <w:trPr>
          <w:trHeight w:val="4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7号线二期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大学城南-水西北站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科学城一手3.3-3.5</w:t>
            </w:r>
          </w:p>
        </w:tc>
      </w:tr>
      <w:tr w:rsidR="00687E6B" w:rsidRPr="00687E6B" w:rsidTr="00687E6B">
        <w:trPr>
          <w:trHeight w:val="7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8号线北延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白云湖-广州北站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嘉禾望岗二手2.7-3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花都机场板块二手1.5-1.7</w:t>
            </w:r>
          </w:p>
        </w:tc>
      </w:tr>
      <w:tr w:rsidR="00687E6B" w:rsidRPr="00687E6B" w:rsidTr="00687E6B">
        <w:trPr>
          <w:trHeight w:val="165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10号线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石牌桥</w:t>
            </w:r>
            <w:proofErr w:type="gramEnd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-西朗站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广钢一手4.8-5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天河北二手5.2-6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五羊新城二手4.2-5.3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滨江东二手5.5-6.5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南洲二手3.2-4.6</w:t>
            </w:r>
          </w:p>
        </w:tc>
      </w:tr>
      <w:tr w:rsidR="00687E6B" w:rsidRPr="00687E6B" w:rsidTr="00687E6B">
        <w:trPr>
          <w:trHeight w:val="160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12号线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浔峰岗</w:t>
            </w:r>
            <w:proofErr w:type="gramEnd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-大学城南站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赤</w:t>
            </w:r>
            <w:proofErr w:type="gramEnd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岗-</w:t>
            </w: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琶</w:t>
            </w:r>
            <w:proofErr w:type="gramEnd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洲二手4.8-5.8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越秀东湖二手5-5.6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广园新村二手2.3-2.5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新市二手2.8-3.5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金沙洲二手3.3-3.7</w:t>
            </w:r>
          </w:p>
        </w:tc>
      </w:tr>
      <w:tr w:rsidR="00687E6B" w:rsidRPr="00687E6B" w:rsidTr="00687E6B">
        <w:trPr>
          <w:trHeight w:val="5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13号线二期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朝阳-</w:t>
            </w: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鱼珠站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西场西村二手2.8-3.3</w:t>
            </w:r>
          </w:p>
        </w:tc>
      </w:tr>
      <w:tr w:rsidR="00687E6B" w:rsidRPr="00687E6B" w:rsidTr="00687E6B">
        <w:trPr>
          <w:trHeight w:val="4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14号线二期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广州火车站-嘉禾望岗站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黄石路二手3-4.5</w:t>
            </w:r>
          </w:p>
        </w:tc>
      </w:tr>
      <w:tr w:rsidR="00687E6B" w:rsidRPr="00687E6B" w:rsidTr="00687E6B">
        <w:trPr>
          <w:trHeight w:val="4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18号线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万顷沙-广州东站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市桥北二手2-2.2</w:t>
            </w: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桥南二手2.2-2.5</w:t>
            </w:r>
          </w:p>
        </w:tc>
      </w:tr>
      <w:tr w:rsidR="00687E6B" w:rsidRPr="00687E6B" w:rsidTr="00687E6B">
        <w:trPr>
          <w:trHeight w:val="40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22号线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番禺广场-</w:t>
            </w:r>
            <w:proofErr w:type="gramStart"/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白鹅潭站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C00000"/>
              <w:right w:val="nil"/>
            </w:tcBorders>
            <w:vAlign w:val="center"/>
            <w:hideMark/>
          </w:tcPr>
          <w:p w:rsidR="00687E6B" w:rsidRPr="00687E6B" w:rsidRDefault="00687E6B" w:rsidP="00687E6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687E6B" w:rsidRPr="00687E6B" w:rsidTr="00687E6B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E6B" w:rsidRPr="00687E6B" w:rsidRDefault="00687E6B" w:rsidP="00687E6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E6B" w:rsidRPr="00687E6B" w:rsidRDefault="00687E6B" w:rsidP="00687E6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7E6B" w:rsidRPr="00687E6B" w:rsidRDefault="00687E6B" w:rsidP="00687E6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687E6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整理：广州中原研究发展部</w:t>
            </w:r>
          </w:p>
        </w:tc>
      </w:tr>
    </w:tbl>
    <w:p w:rsidR="009879BC" w:rsidRPr="009D65A1" w:rsidRDefault="004404D6" w:rsidP="009D65A1">
      <w:pPr>
        <w:pStyle w:val="2"/>
        <w:spacing w:beforeLines="50" w:before="156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【</w:t>
      </w:r>
      <w:r w:rsidRPr="004404D6">
        <w:rPr>
          <w:rFonts w:asciiTheme="minorEastAsia" w:eastAsiaTheme="minorEastAsia" w:hAnsiTheme="minorEastAsia" w:hint="eastAsia"/>
          <w:color w:val="C00000"/>
          <w:sz w:val="24"/>
          <w:szCs w:val="21"/>
        </w:rPr>
        <w:t>旧改</w:t>
      </w: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】</w:t>
      </w:r>
      <w:r w:rsidR="009879BC" w:rsidRPr="004404D6">
        <w:rPr>
          <w:rFonts w:asciiTheme="minorEastAsia" w:eastAsiaTheme="minorEastAsia" w:hAnsiTheme="minorEastAsia" w:hint="eastAsia"/>
          <w:color w:val="C00000"/>
          <w:sz w:val="24"/>
          <w:szCs w:val="21"/>
        </w:rPr>
        <w:t>老区旧厂地集中释出，旧村改造多集中于萝岗</w:t>
      </w:r>
    </w:p>
    <w:p w:rsidR="009879BC" w:rsidRPr="009D65A1" w:rsidRDefault="009879BC" w:rsidP="009D65A1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D65A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2017年已出让旧改用地：累计挂牌供应23.8万㎡，涉及中心三区</w:t>
      </w:r>
    </w:p>
    <w:p w:rsidR="009879BC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根据共计，2017年6宗共计23.8万㎡旧改用地挂牌出让，均作为商住用地投入市场。其中4宗共计17.9万㎡来自白云，占总额的75%，目前白云已成为广州中心区主要的供地区。</w:t>
      </w:r>
    </w:p>
    <w:p w:rsidR="008E313D" w:rsidRPr="00687E6B" w:rsidRDefault="008E313D" w:rsidP="008E313D">
      <w:pPr>
        <w:pStyle w:val="a6"/>
        <w:keepNext/>
        <w:spacing w:beforeLines="50" w:before="156"/>
        <w:jc w:val="center"/>
        <w:rPr>
          <w:rFonts w:ascii="宋体" w:eastAsia="宋体" w:hAnsi="宋体"/>
          <w:b/>
          <w:color w:val="C00000"/>
          <w:sz w:val="18"/>
          <w:szCs w:val="18"/>
        </w:rPr>
      </w:pPr>
      <w:r>
        <w:rPr>
          <w:rFonts w:ascii="宋体" w:eastAsia="宋体" w:hAnsi="宋体" w:hint="eastAsia"/>
          <w:b/>
          <w:color w:val="C00000"/>
          <w:sz w:val="18"/>
          <w:szCs w:val="18"/>
        </w:rPr>
        <w:t>2017年公开出让6宗旧改用地</w:t>
      </w:r>
    </w:p>
    <w:tbl>
      <w:tblPr>
        <w:tblW w:w="9240" w:type="dxa"/>
        <w:tblInd w:w="108" w:type="dxa"/>
        <w:tblLook w:val="04A0" w:firstRow="1" w:lastRow="0" w:firstColumn="1" w:lastColumn="0" w:noHBand="0" w:noVBand="1"/>
      </w:tblPr>
      <w:tblGrid>
        <w:gridCol w:w="2736"/>
        <w:gridCol w:w="1096"/>
        <w:gridCol w:w="1045"/>
        <w:gridCol w:w="1051"/>
        <w:gridCol w:w="2216"/>
        <w:gridCol w:w="1096"/>
      </w:tblGrid>
      <w:tr w:rsidR="008E313D" w:rsidRPr="008E313D" w:rsidTr="008E313D">
        <w:trPr>
          <w:trHeight w:val="480"/>
        </w:trPr>
        <w:tc>
          <w:tcPr>
            <w:tcW w:w="273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地块名称</w:t>
            </w:r>
          </w:p>
        </w:tc>
        <w:tc>
          <w:tcPr>
            <w:tcW w:w="109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区域</w:t>
            </w:r>
          </w:p>
        </w:tc>
        <w:tc>
          <w:tcPr>
            <w:tcW w:w="1045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占地面积</w:t>
            </w: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（万㎡）</w:t>
            </w:r>
          </w:p>
        </w:tc>
        <w:tc>
          <w:tcPr>
            <w:tcW w:w="1051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出让总价</w:t>
            </w: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（亿元）</w:t>
            </w:r>
          </w:p>
        </w:tc>
        <w:tc>
          <w:tcPr>
            <w:tcW w:w="221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配建条件</w:t>
            </w:r>
          </w:p>
        </w:tc>
        <w:tc>
          <w:tcPr>
            <w:tcW w:w="1096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拿地房企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广钢AF040218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荔</w:t>
            </w:r>
            <w:proofErr w:type="gramEnd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湾区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3.9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40.0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绿城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棠</w:t>
            </w:r>
            <w:proofErr w:type="gramEnd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涌南路AB2805038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8.3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1.89万㎡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金地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石岗路AH051028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海珠区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2.0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20.4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4.41万㎡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时代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鱼苗场AB2510019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6.4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23.9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0.14万㎡+</w:t>
            </w:r>
            <w:proofErr w:type="gramStart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自持</w:t>
            </w:r>
            <w:proofErr w:type="gramEnd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50%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万科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蔬菜研究所地块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5.7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19.5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平安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羽绒</w:t>
            </w:r>
            <w:proofErr w:type="gramStart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厂石潭路</w:t>
            </w:r>
            <w:proofErr w:type="gramEnd"/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444号地块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4.6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40.2 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建发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b/>
                <w:bCs/>
                <w:color w:val="C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b/>
                <w:bCs/>
                <w:color w:val="C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b/>
                <w:bCs/>
                <w:color w:val="C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b/>
                <w:bCs/>
                <w:color w:val="C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b/>
                <w:bCs/>
                <w:color w:val="C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b/>
                <w:bCs/>
                <w:color w:val="C00000"/>
                <w:kern w:val="0"/>
                <w:sz w:val="20"/>
                <w:szCs w:val="20"/>
              </w:rPr>
              <w:t xml:space="preserve">23.8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center"/>
              <w:rPr>
                <w:rFonts w:ascii="宋体" w:hAnsi="宋体" w:cs="宋体"/>
                <w:b/>
                <w:bCs/>
                <w:color w:val="C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b/>
                <w:bCs/>
                <w:color w:val="C00000"/>
                <w:kern w:val="0"/>
                <w:sz w:val="20"/>
                <w:szCs w:val="20"/>
              </w:rPr>
              <w:t xml:space="preserve">152.3 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E313D" w:rsidRPr="008E313D" w:rsidTr="008E313D">
        <w:trPr>
          <w:trHeight w:val="270"/>
        </w:trPr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13D" w:rsidRPr="008E313D" w:rsidRDefault="008E313D" w:rsidP="008E31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312" w:type="dxa"/>
            <w:gridSpan w:val="2"/>
            <w:tcBorders>
              <w:top w:val="single" w:sz="4" w:space="0" w:color="C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313D" w:rsidRPr="008E313D" w:rsidRDefault="008E313D" w:rsidP="008E313D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E31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数据来源：广州中原研究发展部</w:t>
            </w:r>
          </w:p>
        </w:tc>
      </w:tr>
    </w:tbl>
    <w:p w:rsidR="009879BC" w:rsidRPr="009D65A1" w:rsidRDefault="009879BC" w:rsidP="009D65A1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D65A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2017年公示拟修编旧改用地：总面积超220万㎡，</w:t>
      </w:r>
      <w:proofErr w:type="gramStart"/>
      <w:r w:rsidRPr="009D65A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荔湾项目</w:t>
      </w:r>
      <w:proofErr w:type="gramEnd"/>
      <w:r w:rsidRPr="009D65A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最多</w:t>
      </w:r>
    </w:p>
    <w:p w:rsidR="009879BC" w:rsidRDefault="009879BC" w:rsidP="009879B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根据国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规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委公示情况来看，</w:t>
      </w:r>
      <w:proofErr w:type="gramStart"/>
      <w:r w:rsidRPr="0082378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2017年拟旧改修编用地</w:t>
      </w:r>
      <w:proofErr w:type="gramEnd"/>
      <w:r w:rsidRPr="0082378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（仅统计</w:t>
      </w:r>
      <w:proofErr w:type="gramStart"/>
      <w:r w:rsidRPr="0082378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转为商</w:t>
      </w:r>
      <w:proofErr w:type="gramEnd"/>
      <w:r w:rsidRPr="0082378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住用地）约有13宗，涉及220万㎡用地面积，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假如均能顺利推进，则有望为广州供应用地提供有力补充。</w:t>
      </w:r>
    </w:p>
    <w:p w:rsidR="00823781" w:rsidRPr="00687E6B" w:rsidRDefault="00823781" w:rsidP="00823781">
      <w:pPr>
        <w:pStyle w:val="a6"/>
        <w:keepNext/>
        <w:spacing w:beforeLines="50" w:before="156"/>
        <w:jc w:val="center"/>
        <w:rPr>
          <w:rFonts w:ascii="宋体" w:eastAsia="宋体" w:hAnsi="宋体"/>
          <w:b/>
          <w:color w:val="C00000"/>
          <w:sz w:val="18"/>
          <w:szCs w:val="18"/>
        </w:rPr>
      </w:pPr>
      <w:r w:rsidRPr="00823781">
        <w:rPr>
          <w:rFonts w:ascii="宋体" w:eastAsia="宋体" w:hAnsi="宋体" w:hint="eastAsia"/>
          <w:b/>
          <w:color w:val="C00000"/>
          <w:sz w:val="18"/>
          <w:szCs w:val="18"/>
        </w:rPr>
        <w:t>2017年公示拟修编旧改用地</w: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2616"/>
        <w:gridCol w:w="816"/>
        <w:gridCol w:w="1931"/>
        <w:gridCol w:w="4231"/>
      </w:tblGrid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地块名称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区域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占地面积（万㎡）</w:t>
            </w:r>
          </w:p>
        </w:tc>
        <w:tc>
          <w:tcPr>
            <w:tcW w:w="0" w:type="auto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山村地块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湾区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待定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花海街地块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湾区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待定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4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天河168号旧厂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天河区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6.7</w:t>
            </w: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（居住4.7；商服2）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地块所在广州大道北为近年旧改地供应集中区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商业储运公司地块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9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湾区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56.14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广船将打造成为广州市建设国际航运枢纽</w:t>
            </w: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的科创平台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，由中船华南总部与中信集团华南总部两个总部合作开发；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彩印厂仓储地块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华南医疗器械有限公司地块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城街三联村地块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增城区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朱</w:t>
            </w: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村燕岗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工业园地块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增城区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中新镇</w:t>
            </w: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西脚岭地块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增城区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823781" w:rsidRPr="00823781" w:rsidTr="00823781">
        <w:trPr>
          <w:trHeight w:val="5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陆居路</w:t>
            </w:r>
            <w:proofErr w:type="gramEnd"/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AF0202片区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湾区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面积为大致研究范围，</w:t>
            </w: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预计仍需调整，推进效率相对缓慢</w:t>
            </w:r>
          </w:p>
        </w:tc>
      </w:tr>
      <w:tr w:rsidR="00823781" w:rsidRPr="00823781" w:rsidTr="00823781">
        <w:trPr>
          <w:trHeight w:val="64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新隆沙AF0201片区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</w:pPr>
            <w:proofErr w:type="gramStart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荔</w:t>
            </w:r>
            <w:proofErr w:type="gramEnd"/>
            <w:r w:rsidRPr="00823781">
              <w:rPr>
                <w:rFonts w:ascii="Arial" w:hAnsi="Arial" w:cs="Arial"/>
                <w:color w:val="3E3E3E"/>
                <w:kern w:val="0"/>
                <w:sz w:val="20"/>
                <w:szCs w:val="20"/>
              </w:rPr>
              <w:t>湾区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面积为大致研究范围，</w:t>
            </w: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预计仍需调整，推进效率相对缓慢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广药集团两宗旧厂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白云区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待定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位于白云同和板块，拟改为居住用地</w:t>
            </w:r>
          </w:p>
        </w:tc>
      </w:tr>
      <w:tr w:rsidR="00823781" w:rsidRPr="00823781" w:rsidTr="00823781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781" w:rsidRPr="00823781" w:rsidRDefault="00823781" w:rsidP="0082378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781" w:rsidRPr="00823781" w:rsidRDefault="00823781" w:rsidP="0082378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3781" w:rsidRPr="00823781" w:rsidRDefault="00823781" w:rsidP="008237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3781" w:rsidRPr="00823781" w:rsidRDefault="00823781" w:rsidP="00823781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237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数据来源：广州中原研究发展部</w:t>
            </w:r>
          </w:p>
        </w:tc>
      </w:tr>
    </w:tbl>
    <w:p w:rsidR="00F12BC2" w:rsidRDefault="00F12BC2" w:rsidP="00F12BC2">
      <w:pPr>
        <w:widowControl/>
        <w:spacing w:beforeLines="50" w:before="156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C6C02BD" wp14:editId="65C7216C">
            <wp:extent cx="4762500" cy="2990850"/>
            <wp:effectExtent l="0" t="0" r="19050" b="190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D6F31" w:rsidRDefault="009879BC" w:rsidP="00DF5CFB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从各区修编情况来看，</w:t>
      </w:r>
      <w:proofErr w:type="gramStart"/>
      <w:r w:rsidRPr="00F12BC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荔</w:t>
      </w:r>
      <w:proofErr w:type="gramEnd"/>
      <w:r w:rsidRPr="00F12BC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湾拟改造项目有5个合计172.34万㎡，其中包括广船、新隆沙-</w:t>
      </w:r>
      <w:proofErr w:type="gramStart"/>
      <w:r w:rsidRPr="00F12BC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陆居路</w:t>
      </w:r>
      <w:proofErr w:type="gramEnd"/>
      <w:r w:rsidRPr="00F12BC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在内的3个大体量项目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，需要指出的是虽然该区立项较多，但除广船外其余涉及旧改面积、难度均较大，因此预期实际推进效率有待提高。</w:t>
      </w:r>
    </w:p>
    <w:p w:rsidR="009879BC" w:rsidRPr="009879BC" w:rsidRDefault="009879BC" w:rsidP="00F12BC2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从推进的实际效果来看，白云区用地有望较快投入土地市场，该区2017年公示5宗用地共计26.9万㎡，用地主要分布在三元里、同和两大板块，</w:t>
      </w:r>
      <w:r w:rsidRPr="00AB4CB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由于5宗用地均为企业旧厂房，</w:t>
      </w:r>
      <w:r w:rsidR="00AB4CB8" w:rsidRPr="00AB4CB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改造程序较为简单，</w:t>
      </w:r>
      <w:r w:rsidRPr="00AB4CB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因此预计最快部分用地能公开挂牌出让。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此外</w:t>
      </w:r>
      <w:r w:rsidR="002D6F31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外围区增城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亦公布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了多宗旧改项目，涉及3宗用地合计40万㎡。</w:t>
      </w:r>
    </w:p>
    <w:p w:rsidR="009879BC" w:rsidRPr="009D65A1" w:rsidRDefault="009879BC" w:rsidP="009D65A1">
      <w:pPr>
        <w:widowControl/>
        <w:spacing w:beforeLines="50" w:before="156" w:line="276" w:lineRule="auto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9D65A1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旧村：改造向东看，萝岗3项目总面积近100万㎡</w:t>
      </w:r>
    </w:p>
    <w:p w:rsidR="004A1E0F" w:rsidRDefault="009879BC" w:rsidP="00CF12D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今年旧村改造以明确开工的主要为萝岗3个项目，包括</w:t>
      </w:r>
      <w:proofErr w:type="gramStart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暹</w:t>
      </w:r>
      <w:proofErr w:type="gramEnd"/>
      <w:r w:rsidRPr="009879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岗村、火村以及红卫村在内3个项目，涉及面积共计96.6万㎡。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57"/>
        <w:gridCol w:w="1923"/>
        <w:gridCol w:w="2004"/>
        <w:gridCol w:w="2702"/>
        <w:gridCol w:w="1216"/>
      </w:tblGrid>
      <w:tr w:rsidR="004A1E0F" w:rsidRPr="004A1E0F" w:rsidTr="004A1E0F">
        <w:trPr>
          <w:trHeight w:val="480"/>
        </w:trPr>
        <w:tc>
          <w:tcPr>
            <w:tcW w:w="997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项目名</w:t>
            </w:r>
          </w:p>
        </w:tc>
        <w:tc>
          <w:tcPr>
            <w:tcW w:w="1031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区域</w:t>
            </w:r>
          </w:p>
        </w:tc>
        <w:tc>
          <w:tcPr>
            <w:tcW w:w="1073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总占地面积</w:t>
            </w: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（万㎡）</w:t>
            </w:r>
          </w:p>
        </w:tc>
        <w:tc>
          <w:tcPr>
            <w:tcW w:w="1432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规划</w:t>
            </w:r>
          </w:p>
        </w:tc>
        <w:tc>
          <w:tcPr>
            <w:tcW w:w="468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负责开发商</w:t>
            </w:r>
          </w:p>
        </w:tc>
      </w:tr>
      <w:tr w:rsidR="004A1E0F" w:rsidRPr="004A1E0F" w:rsidTr="004A1E0F">
        <w:trPr>
          <w:trHeight w:val="960"/>
        </w:trPr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暹</w:t>
            </w:r>
            <w:proofErr w:type="gramEnd"/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岗村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黄埔区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8.82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项目位于萝岗</w:t>
            </w:r>
            <w:proofErr w:type="gramStart"/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暹</w:t>
            </w:r>
            <w:proofErr w:type="gramEnd"/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岗村南部,南临开泰大道,东临科丰路和万达广场，总建筑面积约52万㎡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大壮</w:t>
            </w:r>
          </w:p>
        </w:tc>
      </w:tr>
      <w:tr w:rsidR="004A1E0F" w:rsidRPr="004A1E0F" w:rsidTr="004A1E0F">
        <w:trPr>
          <w:trHeight w:val="1050"/>
        </w:trPr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火村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黄埔区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61.51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改造范围包括火村岗头元、上岭、花厅三个片区，复建和地块建筑总量达192万㎡，预计总投资约114亿元。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珠光集团</w:t>
            </w:r>
          </w:p>
        </w:tc>
      </w:tr>
      <w:tr w:rsidR="004A1E0F" w:rsidRPr="004A1E0F" w:rsidTr="004A1E0F">
        <w:trPr>
          <w:trHeight w:val="765"/>
        </w:trPr>
        <w:tc>
          <w:tcPr>
            <w:tcW w:w="997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红卫村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黄埔区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25.76</w:t>
            </w:r>
          </w:p>
        </w:tc>
        <w:tc>
          <w:tcPr>
            <w:tcW w:w="1432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中新知识城北部，配合区域产业集聚和转型升级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000000" w:fill="F2DCDB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时代</w:t>
            </w:r>
          </w:p>
        </w:tc>
      </w:tr>
      <w:tr w:rsidR="004A1E0F" w:rsidRPr="004A1E0F" w:rsidTr="004A1E0F">
        <w:trPr>
          <w:trHeight w:val="270"/>
        </w:trPr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E0F" w:rsidRPr="004A1E0F" w:rsidRDefault="004A1E0F" w:rsidP="004A1E0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E0F" w:rsidRPr="004A1E0F" w:rsidRDefault="004A1E0F" w:rsidP="004A1E0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E0F" w:rsidRPr="004A1E0F" w:rsidRDefault="004A1E0F" w:rsidP="004A1E0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E0F" w:rsidRPr="004A1E0F" w:rsidRDefault="004A1E0F" w:rsidP="004A1E0F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E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整理：广州中原研究发展部</w:t>
            </w:r>
          </w:p>
        </w:tc>
      </w:tr>
    </w:tbl>
    <w:p w:rsidR="009879BC" w:rsidRDefault="00CF12DC" w:rsidP="00CF12D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暹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岗、火村两项目直线距离约5公里。其中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暹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岗位于科学城中心区范围内，交通方面紧邻地铁6号线及在建的地铁21号线，近主干道开创大道，无论地铁出行还是自驾车出行均较为便利，生活配套方面</w:t>
      </w: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有萝岗万达广场；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暹岗项目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占地面积为8.82万㎡，由开发商大壮负责，体量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较</w:t>
      </w: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火村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小</w:t>
      </w: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但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胜在区位条件较优。</w:t>
      </w:r>
    </w:p>
    <w:p w:rsidR="00CF12DC" w:rsidRDefault="00CF12DC" w:rsidP="00CF12D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而火村旧改项目则称得上“巨无霸”，其总占地面积达61.51万㎡，本次公布的旧改中仅次于茅岗村项目，由地胆珠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光</w:t>
      </w: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集团负责，预计总投资114亿；从区位条件来看，火村位于广深高速与火村立交交接处，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距目前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地铁5号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线香雪站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2.5公里，公共通勤条件略逊于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暹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岗村。</w:t>
      </w:r>
    </w:p>
    <w:p w:rsidR="00CF12DC" w:rsidRPr="00CF12DC" w:rsidRDefault="00CF12DC" w:rsidP="00CF12DC">
      <w:pPr>
        <w:widowControl/>
        <w:spacing w:beforeLines="50" w:before="156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5019675" cy="3709458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1月02日1810_3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923" cy="37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DC" w:rsidRDefault="00CF12DC" w:rsidP="00CF12DC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但随着近期中海、万科、时代等大体量楼盘陆续交楼入住，预期未来香</w:t>
      </w:r>
      <w:proofErr w:type="gramStart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雪板块</w:t>
      </w:r>
      <w:proofErr w:type="gramEnd"/>
      <w:r w:rsidRPr="00CF12D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将会形成相对完善的生活圈。而针对项目本身61.51万㎡的占地面积，</w:t>
      </w:r>
      <w:r w:rsidRPr="00CF12D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未来自</w:t>
      </w:r>
      <w:proofErr w:type="gramStart"/>
      <w:r w:rsidRPr="00CF12D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带配套</w:t>
      </w:r>
      <w:proofErr w:type="gramEnd"/>
      <w:r w:rsidRPr="00CF12D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预期亦相对完善。</w:t>
      </w:r>
    </w:p>
    <w:p w:rsidR="000E7CB1" w:rsidRPr="000E7CB1" w:rsidRDefault="000E7CB1" w:rsidP="000E7CB1">
      <w:pPr>
        <w:widowControl/>
        <w:spacing w:beforeLines="50" w:before="156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而由时代主导的九龙镇红卫村旧改于2017年10正式动工，其位于知识城北部，将结合知识城规划建设居住部分以及产业部分。</w:t>
      </w:r>
    </w:p>
    <w:p w:rsidR="009E441D" w:rsidRPr="00151A4C" w:rsidRDefault="009E441D" w:rsidP="003D1987">
      <w:pPr>
        <w:widowControl/>
        <w:spacing w:beforeLines="50" w:before="156" w:line="276" w:lineRule="auto"/>
        <w:ind w:right="105" w:firstLineChars="200" w:firstLine="420"/>
        <w:jc w:val="righ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</w:p>
    <w:p w:rsidR="001E44BC" w:rsidRDefault="00261657" w:rsidP="001E44BC">
      <w:pPr>
        <w:widowControl/>
        <w:spacing w:beforeLines="50" w:before="156" w:line="276" w:lineRule="auto"/>
        <w:ind w:firstLineChars="200" w:firstLine="420"/>
        <w:jc w:val="righ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</w:t>
      </w:r>
      <w:r w:rsidR="001E44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中原研究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发展</w:t>
      </w:r>
      <w:r w:rsidR="001E44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部</w:t>
      </w:r>
    </w:p>
    <w:p w:rsidR="001E44BC" w:rsidRDefault="00261657" w:rsidP="001E44BC">
      <w:pPr>
        <w:widowControl/>
        <w:spacing w:beforeLines="50" w:before="156" w:line="276" w:lineRule="auto"/>
        <w:ind w:firstLineChars="200" w:firstLine="420"/>
        <w:jc w:val="righ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</w:t>
      </w:r>
      <w:r w:rsidR="00C17D7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8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-</w:t>
      </w:r>
      <w:r w:rsidR="00C17D7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01</w:t>
      </w:r>
      <w:bookmarkEnd w:id="0"/>
      <w:bookmarkEnd w:id="1"/>
      <w:r w:rsidR="00C17D7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-03</w:t>
      </w:r>
    </w:p>
    <w:sectPr w:rsidR="001E44BC" w:rsidSect="00336EBF">
      <w:headerReference w:type="default" r:id="rId25"/>
      <w:footerReference w:type="default" r:id="rId26"/>
      <w:pgSz w:w="11906" w:h="16838"/>
      <w:pgMar w:top="993" w:right="1286" w:bottom="1134" w:left="1134" w:header="567" w:footer="73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DF4" w:rsidRDefault="008C7DF4">
      <w:r>
        <w:separator/>
      </w:r>
    </w:p>
  </w:endnote>
  <w:endnote w:type="continuationSeparator" w:id="0">
    <w:p w:rsidR="008C7DF4" w:rsidRDefault="008C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E2" w:rsidRDefault="002D46E2" w:rsidP="00336EBF">
    <w:pPr>
      <w:pStyle w:val="a4"/>
      <w:wordWrap w:val="0"/>
      <w:ind w:right="45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D09D0F" wp14:editId="67261074">
              <wp:simplePos x="0" y="0"/>
              <wp:positionH relativeFrom="column">
                <wp:posOffset>-19050</wp:posOffset>
              </wp:positionH>
              <wp:positionV relativeFrom="paragraph">
                <wp:posOffset>-106045</wp:posOffset>
              </wp:positionV>
              <wp:extent cx="6038370" cy="0"/>
              <wp:effectExtent l="0" t="0" r="19685" b="1905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837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接连接符 4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-8.35pt" to="473.9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" strokecolor="#c00000" strokeweight="2pt"/>
          </w:pict>
        </mc:Fallback>
      </mc:AlternateContent>
    </w:r>
    <w:bookmarkStart w:id="3" w:name="OLE_LINK2"/>
    <w:bookmarkStart w:id="4" w:name="OLE_LINK5"/>
    <w:r w:rsidR="00151A4C">
      <w:rPr>
        <w:rFonts w:hint="eastAsia"/>
      </w:rPr>
      <w:t>2018</w:t>
    </w:r>
    <w:r>
      <w:rPr>
        <w:rFonts w:hint="eastAsia"/>
      </w:rPr>
      <w:t>年</w:t>
    </w:r>
    <w:r w:rsidR="00151A4C">
      <w:rPr>
        <w:rFonts w:hint="eastAsia"/>
      </w:rPr>
      <w:t>01</w:t>
    </w:r>
    <w:r>
      <w:rPr>
        <w:rFonts w:hint="eastAsia"/>
      </w:rPr>
      <w:t>月</w:t>
    </w:r>
    <w:r w:rsidR="00151A4C">
      <w:rPr>
        <w:rFonts w:hint="eastAsia"/>
      </w:rPr>
      <w:t>03</w:t>
    </w:r>
    <w:r>
      <w:rPr>
        <w:rFonts w:hint="eastAsia"/>
      </w:rPr>
      <w:t>日</w:t>
    </w:r>
    <w:bookmarkEnd w:id="3"/>
    <w:bookmarkEnd w:id="4"/>
    <w:r>
      <w:rPr>
        <w:rFonts w:hint="eastAsia"/>
      </w:rPr>
      <w:t xml:space="preserve">                                                                    </w:t>
    </w:r>
    <w:r w:rsidRPr="003D6B2D">
      <w:rPr>
        <w:rFonts w:hint="eastAsia"/>
        <w:sz w:val="16"/>
      </w:rPr>
      <w:t>广州中原研究发展部</w:t>
    </w:r>
    <w:r w:rsidRPr="003D6B2D">
      <w:rPr>
        <w:rFonts w:hint="eastAsi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DF4" w:rsidRDefault="008C7DF4">
      <w:r>
        <w:separator/>
      </w:r>
    </w:p>
  </w:footnote>
  <w:footnote w:type="continuationSeparator" w:id="0">
    <w:p w:rsidR="008C7DF4" w:rsidRDefault="008C7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E2" w:rsidRDefault="002D46E2" w:rsidP="00336EBF">
    <w:r w:rsidRPr="008953DE">
      <w:rPr>
        <w:noProof/>
      </w:rPr>
      <w:drawing>
        <wp:anchor distT="0" distB="0" distL="114300" distR="114300" simplePos="0" relativeHeight="251659264" behindDoc="0" locked="1" layoutInCell="1" allowOverlap="1" wp14:anchorId="2A0F43B5" wp14:editId="26A53279">
          <wp:simplePos x="0" y="0"/>
          <wp:positionH relativeFrom="column">
            <wp:posOffset>90170</wp:posOffset>
          </wp:positionH>
          <wp:positionV relativeFrom="paragraph">
            <wp:posOffset>-52705</wp:posOffset>
          </wp:positionV>
          <wp:extent cx="1129665" cy="369570"/>
          <wp:effectExtent l="0" t="0" r="0" b="0"/>
          <wp:wrapNone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aline-Logo-2010-(简体版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66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46E2" w:rsidRPr="004A3281" w:rsidRDefault="002D46E2" w:rsidP="00336EBF">
    <w:pPr>
      <w:pStyle w:val="a3"/>
      <w:jc w:val="right"/>
      <w:rPr>
        <w:rFonts w:asciiTheme="minorEastAsia" w:eastAsiaTheme="minorEastAsia" w:hAnsiTheme="minorEastAsia"/>
      </w:rPr>
    </w:pPr>
    <w:r w:rsidRPr="004A3281">
      <w:rPr>
        <w:rFonts w:asciiTheme="minorEastAsia" w:eastAsiaTheme="minorEastAsia" w:hAnsiTheme="minor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8E1CE2" wp14:editId="28F6C42C">
              <wp:simplePos x="0" y="0"/>
              <wp:positionH relativeFrom="column">
                <wp:posOffset>1323975</wp:posOffset>
              </wp:positionH>
              <wp:positionV relativeFrom="paragraph">
                <wp:posOffset>115594</wp:posOffset>
              </wp:positionV>
              <wp:extent cx="4692650" cy="0"/>
              <wp:effectExtent l="0" t="0" r="12700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265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9.1pt" to="473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" strokecolor="#c0000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0A28"/>
    <w:multiLevelType w:val="hybridMultilevel"/>
    <w:tmpl w:val="ABDA636A"/>
    <w:lvl w:ilvl="0" w:tplc="7D6AEA98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4BF2D306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0D64F3A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0AE2ECE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9EEA1D52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3DCAED84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A7529EF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6AE8A80A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3836B892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90C122B"/>
    <w:multiLevelType w:val="hybridMultilevel"/>
    <w:tmpl w:val="79146CBE"/>
    <w:lvl w:ilvl="0" w:tplc="AE2A0DB2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A036AA36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5F2C7320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1D186F18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43A44FA0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44858CE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39A602F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D66EEB74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69F6951A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35A70356"/>
    <w:multiLevelType w:val="hybridMultilevel"/>
    <w:tmpl w:val="77EAD39A"/>
    <w:lvl w:ilvl="0" w:tplc="7E3AE896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67FA412E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FE5EF58A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6E98346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A5506370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9503460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9CBE9AB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73D8B012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4852E04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45D824DF"/>
    <w:multiLevelType w:val="hybridMultilevel"/>
    <w:tmpl w:val="94842B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76E18C2"/>
    <w:multiLevelType w:val="hybridMultilevel"/>
    <w:tmpl w:val="E28EE526"/>
    <w:lvl w:ilvl="0" w:tplc="95B491A4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E09C45C8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9174B16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6180D73A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778C9B2E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C5A84AE6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DB388A0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B07884AE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75F835C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50452DFB"/>
    <w:multiLevelType w:val="hybridMultilevel"/>
    <w:tmpl w:val="00202164"/>
    <w:lvl w:ilvl="0" w:tplc="F8765C9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367663"/>
    <w:multiLevelType w:val="hybridMultilevel"/>
    <w:tmpl w:val="E892C1C8"/>
    <w:lvl w:ilvl="0" w:tplc="F188817E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560C840A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EFC292B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397CCD1A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F014BBA8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D1845E6E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315844C2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39387386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41C6A64C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2867E1D"/>
    <w:multiLevelType w:val="hybridMultilevel"/>
    <w:tmpl w:val="C94CDE5E"/>
    <w:lvl w:ilvl="0" w:tplc="70584EC2">
      <w:start w:val="1"/>
      <w:numFmt w:val="japaneseCounting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2C73965"/>
    <w:multiLevelType w:val="hybridMultilevel"/>
    <w:tmpl w:val="4F249D58"/>
    <w:lvl w:ilvl="0" w:tplc="B6BCC00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6063245"/>
    <w:multiLevelType w:val="hybridMultilevel"/>
    <w:tmpl w:val="8DB6F942"/>
    <w:lvl w:ilvl="0" w:tplc="E7C05A2C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A4362580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28E4192C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04F6972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E9D2A27A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D15AF768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1D48B2E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5416365E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251CF52C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67E80987"/>
    <w:multiLevelType w:val="hybridMultilevel"/>
    <w:tmpl w:val="358C85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0DB4404"/>
    <w:multiLevelType w:val="hybridMultilevel"/>
    <w:tmpl w:val="40881216"/>
    <w:lvl w:ilvl="0" w:tplc="85BC0F72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CD000444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1A3A74E0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4A30A508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B65EA602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18683F4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93B8626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455C4B44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C1686440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71081F01"/>
    <w:multiLevelType w:val="hybridMultilevel"/>
    <w:tmpl w:val="528087AA"/>
    <w:lvl w:ilvl="0" w:tplc="66B25A16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9CC61B7"/>
    <w:multiLevelType w:val="hybridMultilevel"/>
    <w:tmpl w:val="528087AA"/>
    <w:lvl w:ilvl="0" w:tplc="66B25A16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A8D405A"/>
    <w:multiLevelType w:val="hybridMultilevel"/>
    <w:tmpl w:val="97704CD6"/>
    <w:lvl w:ilvl="0" w:tplc="A90E317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13"/>
  </w:num>
  <w:num w:numId="11">
    <w:abstractNumId w:val="12"/>
  </w:num>
  <w:num w:numId="12">
    <w:abstractNumId w:val="8"/>
  </w:num>
  <w:num w:numId="13">
    <w:abstractNumId w:val="1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C2"/>
    <w:rsid w:val="00000721"/>
    <w:rsid w:val="00000C78"/>
    <w:rsid w:val="000014E6"/>
    <w:rsid w:val="00002AD9"/>
    <w:rsid w:val="0000357C"/>
    <w:rsid w:val="00010FA5"/>
    <w:rsid w:val="00012478"/>
    <w:rsid w:val="00015216"/>
    <w:rsid w:val="00015F2F"/>
    <w:rsid w:val="00021B1D"/>
    <w:rsid w:val="00021B37"/>
    <w:rsid w:val="00022848"/>
    <w:rsid w:val="00030871"/>
    <w:rsid w:val="00030FFC"/>
    <w:rsid w:val="00031988"/>
    <w:rsid w:val="0003411C"/>
    <w:rsid w:val="00041891"/>
    <w:rsid w:val="00042298"/>
    <w:rsid w:val="00043F47"/>
    <w:rsid w:val="000451A4"/>
    <w:rsid w:val="000461BD"/>
    <w:rsid w:val="00046CFE"/>
    <w:rsid w:val="0005000E"/>
    <w:rsid w:val="00051DAA"/>
    <w:rsid w:val="00052164"/>
    <w:rsid w:val="000537A7"/>
    <w:rsid w:val="0005392B"/>
    <w:rsid w:val="00054269"/>
    <w:rsid w:val="00054492"/>
    <w:rsid w:val="00056FDC"/>
    <w:rsid w:val="00060F09"/>
    <w:rsid w:val="00062C3B"/>
    <w:rsid w:val="000635F4"/>
    <w:rsid w:val="00063939"/>
    <w:rsid w:val="00066D86"/>
    <w:rsid w:val="00070AE2"/>
    <w:rsid w:val="00074681"/>
    <w:rsid w:val="0007495F"/>
    <w:rsid w:val="00075318"/>
    <w:rsid w:val="00075E17"/>
    <w:rsid w:val="000772A2"/>
    <w:rsid w:val="0008008B"/>
    <w:rsid w:val="000809D8"/>
    <w:rsid w:val="0008702B"/>
    <w:rsid w:val="000912FA"/>
    <w:rsid w:val="00093255"/>
    <w:rsid w:val="00093AE4"/>
    <w:rsid w:val="00094CFC"/>
    <w:rsid w:val="00096382"/>
    <w:rsid w:val="00096493"/>
    <w:rsid w:val="0009692B"/>
    <w:rsid w:val="00096CDE"/>
    <w:rsid w:val="0009747F"/>
    <w:rsid w:val="000A0579"/>
    <w:rsid w:val="000A0B4B"/>
    <w:rsid w:val="000A26AE"/>
    <w:rsid w:val="000A3192"/>
    <w:rsid w:val="000A42D2"/>
    <w:rsid w:val="000A54D8"/>
    <w:rsid w:val="000A5576"/>
    <w:rsid w:val="000A7C8D"/>
    <w:rsid w:val="000B13D5"/>
    <w:rsid w:val="000B3A00"/>
    <w:rsid w:val="000B3DFC"/>
    <w:rsid w:val="000C08D6"/>
    <w:rsid w:val="000C2AA1"/>
    <w:rsid w:val="000C50C0"/>
    <w:rsid w:val="000C5DED"/>
    <w:rsid w:val="000D17AE"/>
    <w:rsid w:val="000D1E33"/>
    <w:rsid w:val="000D1F5B"/>
    <w:rsid w:val="000D4858"/>
    <w:rsid w:val="000D65A0"/>
    <w:rsid w:val="000D73EF"/>
    <w:rsid w:val="000E01E6"/>
    <w:rsid w:val="000E043B"/>
    <w:rsid w:val="000E5217"/>
    <w:rsid w:val="000E76FB"/>
    <w:rsid w:val="000E7CB1"/>
    <w:rsid w:val="000F097E"/>
    <w:rsid w:val="000F18B1"/>
    <w:rsid w:val="000F2375"/>
    <w:rsid w:val="000F3C61"/>
    <w:rsid w:val="000F407B"/>
    <w:rsid w:val="000F5481"/>
    <w:rsid w:val="000F5871"/>
    <w:rsid w:val="000F634F"/>
    <w:rsid w:val="000F71DC"/>
    <w:rsid w:val="0010569D"/>
    <w:rsid w:val="001078E6"/>
    <w:rsid w:val="00113021"/>
    <w:rsid w:val="0012626D"/>
    <w:rsid w:val="00127E26"/>
    <w:rsid w:val="00130532"/>
    <w:rsid w:val="001416FB"/>
    <w:rsid w:val="001432CD"/>
    <w:rsid w:val="00144A50"/>
    <w:rsid w:val="00145AA8"/>
    <w:rsid w:val="00150D97"/>
    <w:rsid w:val="00151393"/>
    <w:rsid w:val="001514D5"/>
    <w:rsid w:val="00151A4C"/>
    <w:rsid w:val="00153ED3"/>
    <w:rsid w:val="00160D13"/>
    <w:rsid w:val="00162448"/>
    <w:rsid w:val="00162661"/>
    <w:rsid w:val="001637E7"/>
    <w:rsid w:val="00167860"/>
    <w:rsid w:val="001707F3"/>
    <w:rsid w:val="001716B7"/>
    <w:rsid w:val="00171FC5"/>
    <w:rsid w:val="0017453B"/>
    <w:rsid w:val="00176862"/>
    <w:rsid w:val="00180089"/>
    <w:rsid w:val="00182CF4"/>
    <w:rsid w:val="001830BB"/>
    <w:rsid w:val="00183E10"/>
    <w:rsid w:val="00183F07"/>
    <w:rsid w:val="00185A13"/>
    <w:rsid w:val="001875C9"/>
    <w:rsid w:val="0019535B"/>
    <w:rsid w:val="00195E5A"/>
    <w:rsid w:val="0019752E"/>
    <w:rsid w:val="001A02D2"/>
    <w:rsid w:val="001A4174"/>
    <w:rsid w:val="001A67B1"/>
    <w:rsid w:val="001A73A3"/>
    <w:rsid w:val="001B7F47"/>
    <w:rsid w:val="001C1A60"/>
    <w:rsid w:val="001D1701"/>
    <w:rsid w:val="001D2641"/>
    <w:rsid w:val="001D46E3"/>
    <w:rsid w:val="001D55EE"/>
    <w:rsid w:val="001D57D1"/>
    <w:rsid w:val="001D7C53"/>
    <w:rsid w:val="001E33E1"/>
    <w:rsid w:val="001E3B89"/>
    <w:rsid w:val="001E3E94"/>
    <w:rsid w:val="001E40C0"/>
    <w:rsid w:val="001E44BC"/>
    <w:rsid w:val="001F0245"/>
    <w:rsid w:val="001F0592"/>
    <w:rsid w:val="001F130C"/>
    <w:rsid w:val="001F3653"/>
    <w:rsid w:val="001F4418"/>
    <w:rsid w:val="001F5AFF"/>
    <w:rsid w:val="001F75EE"/>
    <w:rsid w:val="0020090D"/>
    <w:rsid w:val="00201DEE"/>
    <w:rsid w:val="00205301"/>
    <w:rsid w:val="002071AF"/>
    <w:rsid w:val="00211C76"/>
    <w:rsid w:val="0021239A"/>
    <w:rsid w:val="0021287A"/>
    <w:rsid w:val="00212FD9"/>
    <w:rsid w:val="00217DB4"/>
    <w:rsid w:val="002228D4"/>
    <w:rsid w:val="002233F8"/>
    <w:rsid w:val="00224493"/>
    <w:rsid w:val="00224A27"/>
    <w:rsid w:val="00225CB9"/>
    <w:rsid w:val="002266E5"/>
    <w:rsid w:val="002277A2"/>
    <w:rsid w:val="0023065A"/>
    <w:rsid w:val="002317AE"/>
    <w:rsid w:val="00231B68"/>
    <w:rsid w:val="0023202C"/>
    <w:rsid w:val="002346FC"/>
    <w:rsid w:val="00235E4D"/>
    <w:rsid w:val="002361BB"/>
    <w:rsid w:val="002400DA"/>
    <w:rsid w:val="00243E12"/>
    <w:rsid w:val="00244E52"/>
    <w:rsid w:val="002455B5"/>
    <w:rsid w:val="00245CE2"/>
    <w:rsid w:val="00245E85"/>
    <w:rsid w:val="002462D8"/>
    <w:rsid w:val="00250554"/>
    <w:rsid w:val="0025403D"/>
    <w:rsid w:val="0025578A"/>
    <w:rsid w:val="00256BCC"/>
    <w:rsid w:val="002614E2"/>
    <w:rsid w:val="002615AC"/>
    <w:rsid w:val="00261657"/>
    <w:rsid w:val="00265E66"/>
    <w:rsid w:val="00265E87"/>
    <w:rsid w:val="002663D2"/>
    <w:rsid w:val="00267176"/>
    <w:rsid w:val="00267415"/>
    <w:rsid w:val="00274C66"/>
    <w:rsid w:val="00275A4F"/>
    <w:rsid w:val="00275BEE"/>
    <w:rsid w:val="00275F4F"/>
    <w:rsid w:val="00276888"/>
    <w:rsid w:val="00276A1F"/>
    <w:rsid w:val="00276FFE"/>
    <w:rsid w:val="00280AD3"/>
    <w:rsid w:val="00282C41"/>
    <w:rsid w:val="002916C8"/>
    <w:rsid w:val="002916F9"/>
    <w:rsid w:val="00293EDF"/>
    <w:rsid w:val="00295182"/>
    <w:rsid w:val="00295A77"/>
    <w:rsid w:val="00297F54"/>
    <w:rsid w:val="002A2A59"/>
    <w:rsid w:val="002A78FF"/>
    <w:rsid w:val="002B1375"/>
    <w:rsid w:val="002B28AD"/>
    <w:rsid w:val="002B2AAB"/>
    <w:rsid w:val="002B4BB2"/>
    <w:rsid w:val="002C0FCF"/>
    <w:rsid w:val="002C654B"/>
    <w:rsid w:val="002C7B58"/>
    <w:rsid w:val="002D01AD"/>
    <w:rsid w:val="002D0B04"/>
    <w:rsid w:val="002D46E2"/>
    <w:rsid w:val="002D52C5"/>
    <w:rsid w:val="002D6F31"/>
    <w:rsid w:val="002D7D51"/>
    <w:rsid w:val="002D7ECD"/>
    <w:rsid w:val="002E0BAD"/>
    <w:rsid w:val="002E345A"/>
    <w:rsid w:val="002E3FB5"/>
    <w:rsid w:val="002E4BA2"/>
    <w:rsid w:val="002E67EA"/>
    <w:rsid w:val="002E733A"/>
    <w:rsid w:val="002F0E3F"/>
    <w:rsid w:val="002F5259"/>
    <w:rsid w:val="002F7114"/>
    <w:rsid w:val="002F771E"/>
    <w:rsid w:val="00304969"/>
    <w:rsid w:val="00305497"/>
    <w:rsid w:val="00305792"/>
    <w:rsid w:val="00306A25"/>
    <w:rsid w:val="003119AC"/>
    <w:rsid w:val="0031428F"/>
    <w:rsid w:val="00315360"/>
    <w:rsid w:val="003159CC"/>
    <w:rsid w:val="003241C0"/>
    <w:rsid w:val="003245CB"/>
    <w:rsid w:val="00325B1C"/>
    <w:rsid w:val="0032702D"/>
    <w:rsid w:val="003300E4"/>
    <w:rsid w:val="003322C7"/>
    <w:rsid w:val="003353DA"/>
    <w:rsid w:val="003362F0"/>
    <w:rsid w:val="003367F3"/>
    <w:rsid w:val="00336EBF"/>
    <w:rsid w:val="0033775A"/>
    <w:rsid w:val="003421CB"/>
    <w:rsid w:val="003423B5"/>
    <w:rsid w:val="00343132"/>
    <w:rsid w:val="003450B4"/>
    <w:rsid w:val="00346786"/>
    <w:rsid w:val="00347680"/>
    <w:rsid w:val="00350B1D"/>
    <w:rsid w:val="00351173"/>
    <w:rsid w:val="003520BE"/>
    <w:rsid w:val="00352C35"/>
    <w:rsid w:val="00352DBF"/>
    <w:rsid w:val="003557A3"/>
    <w:rsid w:val="00356AF4"/>
    <w:rsid w:val="00360641"/>
    <w:rsid w:val="0036078E"/>
    <w:rsid w:val="003609BE"/>
    <w:rsid w:val="00361733"/>
    <w:rsid w:val="0036653F"/>
    <w:rsid w:val="00367136"/>
    <w:rsid w:val="00370BF0"/>
    <w:rsid w:val="00371803"/>
    <w:rsid w:val="00371E58"/>
    <w:rsid w:val="00373B01"/>
    <w:rsid w:val="00374797"/>
    <w:rsid w:val="00375E33"/>
    <w:rsid w:val="0037774F"/>
    <w:rsid w:val="00377CF5"/>
    <w:rsid w:val="00380EC5"/>
    <w:rsid w:val="0038224E"/>
    <w:rsid w:val="00382A92"/>
    <w:rsid w:val="00383EDC"/>
    <w:rsid w:val="003861EA"/>
    <w:rsid w:val="003861F4"/>
    <w:rsid w:val="003869E6"/>
    <w:rsid w:val="00386AD1"/>
    <w:rsid w:val="00386E92"/>
    <w:rsid w:val="00387D98"/>
    <w:rsid w:val="00390780"/>
    <w:rsid w:val="00392252"/>
    <w:rsid w:val="00394A84"/>
    <w:rsid w:val="00395D34"/>
    <w:rsid w:val="00395E8C"/>
    <w:rsid w:val="00395EB7"/>
    <w:rsid w:val="00396592"/>
    <w:rsid w:val="003A255E"/>
    <w:rsid w:val="003A4395"/>
    <w:rsid w:val="003A4E36"/>
    <w:rsid w:val="003A61E5"/>
    <w:rsid w:val="003A7568"/>
    <w:rsid w:val="003B09E3"/>
    <w:rsid w:val="003B23DA"/>
    <w:rsid w:val="003B32D9"/>
    <w:rsid w:val="003B40C3"/>
    <w:rsid w:val="003B4862"/>
    <w:rsid w:val="003B6342"/>
    <w:rsid w:val="003D1296"/>
    <w:rsid w:val="003D1987"/>
    <w:rsid w:val="003D27F3"/>
    <w:rsid w:val="003D3064"/>
    <w:rsid w:val="003D41C3"/>
    <w:rsid w:val="003D4934"/>
    <w:rsid w:val="003D6769"/>
    <w:rsid w:val="003D6B2D"/>
    <w:rsid w:val="003D7BA4"/>
    <w:rsid w:val="003E0523"/>
    <w:rsid w:val="003E60F1"/>
    <w:rsid w:val="003F1083"/>
    <w:rsid w:val="003F1CFD"/>
    <w:rsid w:val="003F33C2"/>
    <w:rsid w:val="003F452F"/>
    <w:rsid w:val="003F7941"/>
    <w:rsid w:val="003F7F96"/>
    <w:rsid w:val="004015EE"/>
    <w:rsid w:val="00402EC6"/>
    <w:rsid w:val="004030BC"/>
    <w:rsid w:val="00404D42"/>
    <w:rsid w:val="00405D6E"/>
    <w:rsid w:val="0041126D"/>
    <w:rsid w:val="00411C2C"/>
    <w:rsid w:val="00413F23"/>
    <w:rsid w:val="004141CA"/>
    <w:rsid w:val="004148B0"/>
    <w:rsid w:val="00414B9E"/>
    <w:rsid w:val="00415F41"/>
    <w:rsid w:val="004168CF"/>
    <w:rsid w:val="004169C2"/>
    <w:rsid w:val="00417E2E"/>
    <w:rsid w:val="0042385D"/>
    <w:rsid w:val="00423CFD"/>
    <w:rsid w:val="004253DD"/>
    <w:rsid w:val="004257E5"/>
    <w:rsid w:val="00430A1C"/>
    <w:rsid w:val="00430F73"/>
    <w:rsid w:val="0043104F"/>
    <w:rsid w:val="00432723"/>
    <w:rsid w:val="00432B43"/>
    <w:rsid w:val="00433E0A"/>
    <w:rsid w:val="0043545D"/>
    <w:rsid w:val="00435772"/>
    <w:rsid w:val="00436970"/>
    <w:rsid w:val="004370CC"/>
    <w:rsid w:val="004404D6"/>
    <w:rsid w:val="0044168F"/>
    <w:rsid w:val="0044486E"/>
    <w:rsid w:val="0045342A"/>
    <w:rsid w:val="00455E3A"/>
    <w:rsid w:val="004575B2"/>
    <w:rsid w:val="00457633"/>
    <w:rsid w:val="00457D55"/>
    <w:rsid w:val="0046106B"/>
    <w:rsid w:val="00461495"/>
    <w:rsid w:val="00462FF0"/>
    <w:rsid w:val="004641C8"/>
    <w:rsid w:val="00471A68"/>
    <w:rsid w:val="00471E58"/>
    <w:rsid w:val="004720F1"/>
    <w:rsid w:val="004750AD"/>
    <w:rsid w:val="0047598B"/>
    <w:rsid w:val="00477AC4"/>
    <w:rsid w:val="004807B2"/>
    <w:rsid w:val="00481477"/>
    <w:rsid w:val="00482FF0"/>
    <w:rsid w:val="00482FF7"/>
    <w:rsid w:val="00483789"/>
    <w:rsid w:val="00485408"/>
    <w:rsid w:val="004861F6"/>
    <w:rsid w:val="00487A63"/>
    <w:rsid w:val="00487D77"/>
    <w:rsid w:val="00490637"/>
    <w:rsid w:val="00490D9B"/>
    <w:rsid w:val="0049141B"/>
    <w:rsid w:val="0049213B"/>
    <w:rsid w:val="00494099"/>
    <w:rsid w:val="00494241"/>
    <w:rsid w:val="00495DF2"/>
    <w:rsid w:val="0049634E"/>
    <w:rsid w:val="004A05EC"/>
    <w:rsid w:val="004A07FE"/>
    <w:rsid w:val="004A0F63"/>
    <w:rsid w:val="004A1E0F"/>
    <w:rsid w:val="004A4F45"/>
    <w:rsid w:val="004A5021"/>
    <w:rsid w:val="004A521C"/>
    <w:rsid w:val="004A5D66"/>
    <w:rsid w:val="004A61B5"/>
    <w:rsid w:val="004A6C3C"/>
    <w:rsid w:val="004A734E"/>
    <w:rsid w:val="004B11A2"/>
    <w:rsid w:val="004B147E"/>
    <w:rsid w:val="004B2821"/>
    <w:rsid w:val="004B3934"/>
    <w:rsid w:val="004B44DF"/>
    <w:rsid w:val="004B7404"/>
    <w:rsid w:val="004C11AC"/>
    <w:rsid w:val="004C18E8"/>
    <w:rsid w:val="004C1CF1"/>
    <w:rsid w:val="004C20CE"/>
    <w:rsid w:val="004C4BDC"/>
    <w:rsid w:val="004D1E64"/>
    <w:rsid w:val="004D646F"/>
    <w:rsid w:val="004D7F6B"/>
    <w:rsid w:val="004E011C"/>
    <w:rsid w:val="004E1534"/>
    <w:rsid w:val="004E76C7"/>
    <w:rsid w:val="004F0123"/>
    <w:rsid w:val="004F0BFA"/>
    <w:rsid w:val="004F34ED"/>
    <w:rsid w:val="004F4034"/>
    <w:rsid w:val="004F44B9"/>
    <w:rsid w:val="004F46FC"/>
    <w:rsid w:val="004F7D75"/>
    <w:rsid w:val="00501411"/>
    <w:rsid w:val="005015DB"/>
    <w:rsid w:val="00502500"/>
    <w:rsid w:val="005030EC"/>
    <w:rsid w:val="005044FB"/>
    <w:rsid w:val="005049D0"/>
    <w:rsid w:val="00504D9D"/>
    <w:rsid w:val="0050538B"/>
    <w:rsid w:val="00505C26"/>
    <w:rsid w:val="005062A9"/>
    <w:rsid w:val="00506AD3"/>
    <w:rsid w:val="00510BA6"/>
    <w:rsid w:val="00515087"/>
    <w:rsid w:val="0051704D"/>
    <w:rsid w:val="00517644"/>
    <w:rsid w:val="0052026F"/>
    <w:rsid w:val="00522AEC"/>
    <w:rsid w:val="00522F67"/>
    <w:rsid w:val="0052330F"/>
    <w:rsid w:val="005246F8"/>
    <w:rsid w:val="0052497F"/>
    <w:rsid w:val="0052555C"/>
    <w:rsid w:val="00525724"/>
    <w:rsid w:val="005271C5"/>
    <w:rsid w:val="00530D8D"/>
    <w:rsid w:val="005358F2"/>
    <w:rsid w:val="00536009"/>
    <w:rsid w:val="0053720F"/>
    <w:rsid w:val="00540821"/>
    <w:rsid w:val="0054296F"/>
    <w:rsid w:val="00542F9F"/>
    <w:rsid w:val="00544244"/>
    <w:rsid w:val="005450E8"/>
    <w:rsid w:val="0054747F"/>
    <w:rsid w:val="00551A27"/>
    <w:rsid w:val="005563DF"/>
    <w:rsid w:val="00561862"/>
    <w:rsid w:val="0056497F"/>
    <w:rsid w:val="00565CE2"/>
    <w:rsid w:val="0056761C"/>
    <w:rsid w:val="00572027"/>
    <w:rsid w:val="00572413"/>
    <w:rsid w:val="00572DA1"/>
    <w:rsid w:val="00582052"/>
    <w:rsid w:val="00583269"/>
    <w:rsid w:val="00583B02"/>
    <w:rsid w:val="00583D2C"/>
    <w:rsid w:val="00584945"/>
    <w:rsid w:val="00585CC8"/>
    <w:rsid w:val="005862F3"/>
    <w:rsid w:val="0058647C"/>
    <w:rsid w:val="00591011"/>
    <w:rsid w:val="0059229F"/>
    <w:rsid w:val="00593B1B"/>
    <w:rsid w:val="00594F33"/>
    <w:rsid w:val="00595BA3"/>
    <w:rsid w:val="0059717F"/>
    <w:rsid w:val="00597991"/>
    <w:rsid w:val="005A0016"/>
    <w:rsid w:val="005A0A51"/>
    <w:rsid w:val="005A2AAF"/>
    <w:rsid w:val="005A2B08"/>
    <w:rsid w:val="005A5CE8"/>
    <w:rsid w:val="005B16D9"/>
    <w:rsid w:val="005B1922"/>
    <w:rsid w:val="005B5113"/>
    <w:rsid w:val="005B51E3"/>
    <w:rsid w:val="005C19B9"/>
    <w:rsid w:val="005C27B1"/>
    <w:rsid w:val="005C5B17"/>
    <w:rsid w:val="005C6402"/>
    <w:rsid w:val="005C7845"/>
    <w:rsid w:val="005C7B4A"/>
    <w:rsid w:val="005D0C00"/>
    <w:rsid w:val="005D1B41"/>
    <w:rsid w:val="005E2A19"/>
    <w:rsid w:val="005E34ED"/>
    <w:rsid w:val="005E53EE"/>
    <w:rsid w:val="005F1DF2"/>
    <w:rsid w:val="005F2886"/>
    <w:rsid w:val="005F309D"/>
    <w:rsid w:val="005F426B"/>
    <w:rsid w:val="005F4FCF"/>
    <w:rsid w:val="005F52D5"/>
    <w:rsid w:val="005F60AC"/>
    <w:rsid w:val="00600CB1"/>
    <w:rsid w:val="0060135F"/>
    <w:rsid w:val="00604CCF"/>
    <w:rsid w:val="00605492"/>
    <w:rsid w:val="00611908"/>
    <w:rsid w:val="00615A07"/>
    <w:rsid w:val="00617BF2"/>
    <w:rsid w:val="00617CA7"/>
    <w:rsid w:val="00620AA4"/>
    <w:rsid w:val="00621813"/>
    <w:rsid w:val="00622362"/>
    <w:rsid w:val="00624281"/>
    <w:rsid w:val="00624632"/>
    <w:rsid w:val="006265BA"/>
    <w:rsid w:val="006321E3"/>
    <w:rsid w:val="00632EDE"/>
    <w:rsid w:val="006339DC"/>
    <w:rsid w:val="00633EC8"/>
    <w:rsid w:val="00634208"/>
    <w:rsid w:val="006418BC"/>
    <w:rsid w:val="006450D0"/>
    <w:rsid w:val="00650CDD"/>
    <w:rsid w:val="0065418B"/>
    <w:rsid w:val="006554F9"/>
    <w:rsid w:val="00656F79"/>
    <w:rsid w:val="00660858"/>
    <w:rsid w:val="00660E51"/>
    <w:rsid w:val="006614B9"/>
    <w:rsid w:val="00666A4B"/>
    <w:rsid w:val="006671CD"/>
    <w:rsid w:val="00667D76"/>
    <w:rsid w:val="006713E1"/>
    <w:rsid w:val="00673EE5"/>
    <w:rsid w:val="006757D6"/>
    <w:rsid w:val="00684708"/>
    <w:rsid w:val="00684713"/>
    <w:rsid w:val="00686086"/>
    <w:rsid w:val="00687738"/>
    <w:rsid w:val="00687E6B"/>
    <w:rsid w:val="0069039E"/>
    <w:rsid w:val="00693E32"/>
    <w:rsid w:val="006949D8"/>
    <w:rsid w:val="006974C1"/>
    <w:rsid w:val="006A1437"/>
    <w:rsid w:val="006A2127"/>
    <w:rsid w:val="006A697A"/>
    <w:rsid w:val="006A6E77"/>
    <w:rsid w:val="006A7D26"/>
    <w:rsid w:val="006B0CC9"/>
    <w:rsid w:val="006B10F2"/>
    <w:rsid w:val="006B1216"/>
    <w:rsid w:val="006B30F9"/>
    <w:rsid w:val="006B49C9"/>
    <w:rsid w:val="006B4A1B"/>
    <w:rsid w:val="006B50E2"/>
    <w:rsid w:val="006B71AC"/>
    <w:rsid w:val="006C10A9"/>
    <w:rsid w:val="006C155D"/>
    <w:rsid w:val="006C165A"/>
    <w:rsid w:val="006C2B4D"/>
    <w:rsid w:val="006C5108"/>
    <w:rsid w:val="006C57F5"/>
    <w:rsid w:val="006C7956"/>
    <w:rsid w:val="006D32CD"/>
    <w:rsid w:val="006D3880"/>
    <w:rsid w:val="006D4B7A"/>
    <w:rsid w:val="006D6098"/>
    <w:rsid w:val="006D7DCA"/>
    <w:rsid w:val="006E0102"/>
    <w:rsid w:val="006E0EDD"/>
    <w:rsid w:val="006E4207"/>
    <w:rsid w:val="006E6044"/>
    <w:rsid w:val="006F184E"/>
    <w:rsid w:val="006F2A11"/>
    <w:rsid w:val="006F49B2"/>
    <w:rsid w:val="006F73C7"/>
    <w:rsid w:val="00700D7C"/>
    <w:rsid w:val="0070165B"/>
    <w:rsid w:val="007038F4"/>
    <w:rsid w:val="00703C58"/>
    <w:rsid w:val="00703CC4"/>
    <w:rsid w:val="00704733"/>
    <w:rsid w:val="00706A34"/>
    <w:rsid w:val="00706B72"/>
    <w:rsid w:val="007103B6"/>
    <w:rsid w:val="00712369"/>
    <w:rsid w:val="0071300E"/>
    <w:rsid w:val="00720D0D"/>
    <w:rsid w:val="00721518"/>
    <w:rsid w:val="00721D57"/>
    <w:rsid w:val="00722FA7"/>
    <w:rsid w:val="00726276"/>
    <w:rsid w:val="007272D5"/>
    <w:rsid w:val="00727E21"/>
    <w:rsid w:val="00727F05"/>
    <w:rsid w:val="00731B61"/>
    <w:rsid w:val="0074130B"/>
    <w:rsid w:val="00741720"/>
    <w:rsid w:val="00741A6D"/>
    <w:rsid w:val="00741AD4"/>
    <w:rsid w:val="00741DC0"/>
    <w:rsid w:val="00744A59"/>
    <w:rsid w:val="0074548E"/>
    <w:rsid w:val="0074559C"/>
    <w:rsid w:val="00745924"/>
    <w:rsid w:val="00745966"/>
    <w:rsid w:val="00746D4F"/>
    <w:rsid w:val="0075064F"/>
    <w:rsid w:val="00753E77"/>
    <w:rsid w:val="00754243"/>
    <w:rsid w:val="00754D7D"/>
    <w:rsid w:val="00760633"/>
    <w:rsid w:val="00760D69"/>
    <w:rsid w:val="0076115F"/>
    <w:rsid w:val="007631EF"/>
    <w:rsid w:val="007635C2"/>
    <w:rsid w:val="00767CD2"/>
    <w:rsid w:val="007708F6"/>
    <w:rsid w:val="0077150B"/>
    <w:rsid w:val="0077174A"/>
    <w:rsid w:val="007721A2"/>
    <w:rsid w:val="00772844"/>
    <w:rsid w:val="0077475B"/>
    <w:rsid w:val="007749CB"/>
    <w:rsid w:val="007750E8"/>
    <w:rsid w:val="00775B90"/>
    <w:rsid w:val="0078112B"/>
    <w:rsid w:val="00784A73"/>
    <w:rsid w:val="007869DE"/>
    <w:rsid w:val="007878A5"/>
    <w:rsid w:val="00790561"/>
    <w:rsid w:val="007909A7"/>
    <w:rsid w:val="00791DDF"/>
    <w:rsid w:val="00791F3D"/>
    <w:rsid w:val="00792150"/>
    <w:rsid w:val="00793FB9"/>
    <w:rsid w:val="007942C4"/>
    <w:rsid w:val="00795975"/>
    <w:rsid w:val="007A27D8"/>
    <w:rsid w:val="007A3683"/>
    <w:rsid w:val="007A3E37"/>
    <w:rsid w:val="007A6437"/>
    <w:rsid w:val="007A7499"/>
    <w:rsid w:val="007A7905"/>
    <w:rsid w:val="007A7E08"/>
    <w:rsid w:val="007B00EE"/>
    <w:rsid w:val="007B1E94"/>
    <w:rsid w:val="007B334D"/>
    <w:rsid w:val="007B7978"/>
    <w:rsid w:val="007C0E65"/>
    <w:rsid w:val="007C43CC"/>
    <w:rsid w:val="007C4E8C"/>
    <w:rsid w:val="007C674F"/>
    <w:rsid w:val="007D156A"/>
    <w:rsid w:val="007D29C1"/>
    <w:rsid w:val="007D73CC"/>
    <w:rsid w:val="007D7912"/>
    <w:rsid w:val="007E0874"/>
    <w:rsid w:val="007E08B6"/>
    <w:rsid w:val="007E0D26"/>
    <w:rsid w:val="007E3402"/>
    <w:rsid w:val="007E59B8"/>
    <w:rsid w:val="007F0881"/>
    <w:rsid w:val="007F1F34"/>
    <w:rsid w:val="007F2B7D"/>
    <w:rsid w:val="007F4400"/>
    <w:rsid w:val="007F7F65"/>
    <w:rsid w:val="008016B7"/>
    <w:rsid w:val="00801CA1"/>
    <w:rsid w:val="00803EB6"/>
    <w:rsid w:val="00804D45"/>
    <w:rsid w:val="00807CBC"/>
    <w:rsid w:val="00814CCB"/>
    <w:rsid w:val="00822398"/>
    <w:rsid w:val="00822628"/>
    <w:rsid w:val="008229BE"/>
    <w:rsid w:val="00823781"/>
    <w:rsid w:val="008237BC"/>
    <w:rsid w:val="00823E55"/>
    <w:rsid w:val="00824B8A"/>
    <w:rsid w:val="00827025"/>
    <w:rsid w:val="008275E8"/>
    <w:rsid w:val="0083041E"/>
    <w:rsid w:val="00830CB0"/>
    <w:rsid w:val="00830EA7"/>
    <w:rsid w:val="008404A1"/>
    <w:rsid w:val="00840EF0"/>
    <w:rsid w:val="00842CFA"/>
    <w:rsid w:val="00843496"/>
    <w:rsid w:val="00843C7B"/>
    <w:rsid w:val="00845B39"/>
    <w:rsid w:val="00845D5A"/>
    <w:rsid w:val="0085018D"/>
    <w:rsid w:val="00850D7A"/>
    <w:rsid w:val="00852DC8"/>
    <w:rsid w:val="008578EC"/>
    <w:rsid w:val="0086042C"/>
    <w:rsid w:val="00861439"/>
    <w:rsid w:val="008614ED"/>
    <w:rsid w:val="008629F1"/>
    <w:rsid w:val="00862ECE"/>
    <w:rsid w:val="00864997"/>
    <w:rsid w:val="0086649B"/>
    <w:rsid w:val="008715AA"/>
    <w:rsid w:val="00872115"/>
    <w:rsid w:val="00872D1E"/>
    <w:rsid w:val="008746E4"/>
    <w:rsid w:val="00876282"/>
    <w:rsid w:val="00876604"/>
    <w:rsid w:val="008772F8"/>
    <w:rsid w:val="00877907"/>
    <w:rsid w:val="00882790"/>
    <w:rsid w:val="00882C4A"/>
    <w:rsid w:val="00883D17"/>
    <w:rsid w:val="00884020"/>
    <w:rsid w:val="00886BC8"/>
    <w:rsid w:val="00890020"/>
    <w:rsid w:val="008917F1"/>
    <w:rsid w:val="00892092"/>
    <w:rsid w:val="00894368"/>
    <w:rsid w:val="00894ECF"/>
    <w:rsid w:val="00894FB3"/>
    <w:rsid w:val="008A1CC2"/>
    <w:rsid w:val="008A4070"/>
    <w:rsid w:val="008A5EA1"/>
    <w:rsid w:val="008A6759"/>
    <w:rsid w:val="008B00E5"/>
    <w:rsid w:val="008B0A06"/>
    <w:rsid w:val="008B17B3"/>
    <w:rsid w:val="008B1D73"/>
    <w:rsid w:val="008B3E42"/>
    <w:rsid w:val="008B3F52"/>
    <w:rsid w:val="008B6755"/>
    <w:rsid w:val="008B6D52"/>
    <w:rsid w:val="008C015C"/>
    <w:rsid w:val="008C0C48"/>
    <w:rsid w:val="008C6236"/>
    <w:rsid w:val="008C67B7"/>
    <w:rsid w:val="008C7DF4"/>
    <w:rsid w:val="008D121B"/>
    <w:rsid w:val="008D1BB0"/>
    <w:rsid w:val="008D3039"/>
    <w:rsid w:val="008D311E"/>
    <w:rsid w:val="008D4FC7"/>
    <w:rsid w:val="008D57EE"/>
    <w:rsid w:val="008D63E0"/>
    <w:rsid w:val="008D6CB9"/>
    <w:rsid w:val="008D6F60"/>
    <w:rsid w:val="008D73B4"/>
    <w:rsid w:val="008D7879"/>
    <w:rsid w:val="008E0B59"/>
    <w:rsid w:val="008E2EC2"/>
    <w:rsid w:val="008E313D"/>
    <w:rsid w:val="008E50CD"/>
    <w:rsid w:val="008E6551"/>
    <w:rsid w:val="008F134D"/>
    <w:rsid w:val="008F1B8A"/>
    <w:rsid w:val="008F25A6"/>
    <w:rsid w:val="008F2835"/>
    <w:rsid w:val="008F28B1"/>
    <w:rsid w:val="008F2E32"/>
    <w:rsid w:val="008F3770"/>
    <w:rsid w:val="008F58D7"/>
    <w:rsid w:val="009028A9"/>
    <w:rsid w:val="00904F2F"/>
    <w:rsid w:val="009054D7"/>
    <w:rsid w:val="009078AB"/>
    <w:rsid w:val="009078AE"/>
    <w:rsid w:val="0091109E"/>
    <w:rsid w:val="0091378B"/>
    <w:rsid w:val="00914D0B"/>
    <w:rsid w:val="00915686"/>
    <w:rsid w:val="00917879"/>
    <w:rsid w:val="00924046"/>
    <w:rsid w:val="0093075E"/>
    <w:rsid w:val="00932A48"/>
    <w:rsid w:val="009345BE"/>
    <w:rsid w:val="00936BF7"/>
    <w:rsid w:val="009377A7"/>
    <w:rsid w:val="009419FB"/>
    <w:rsid w:val="00945EFC"/>
    <w:rsid w:val="0094602B"/>
    <w:rsid w:val="00953CF2"/>
    <w:rsid w:val="009540FF"/>
    <w:rsid w:val="009549EB"/>
    <w:rsid w:val="00954C17"/>
    <w:rsid w:val="009630A0"/>
    <w:rsid w:val="00963997"/>
    <w:rsid w:val="0096545C"/>
    <w:rsid w:val="009655EC"/>
    <w:rsid w:val="00965A8F"/>
    <w:rsid w:val="00966A6E"/>
    <w:rsid w:val="009678C6"/>
    <w:rsid w:val="00972C5A"/>
    <w:rsid w:val="00973CC8"/>
    <w:rsid w:val="009747B7"/>
    <w:rsid w:val="00976A82"/>
    <w:rsid w:val="00980C89"/>
    <w:rsid w:val="00981628"/>
    <w:rsid w:val="00983D17"/>
    <w:rsid w:val="00984002"/>
    <w:rsid w:val="009845DC"/>
    <w:rsid w:val="009849A2"/>
    <w:rsid w:val="00985247"/>
    <w:rsid w:val="00986048"/>
    <w:rsid w:val="00986C79"/>
    <w:rsid w:val="00986E8E"/>
    <w:rsid w:val="009879BC"/>
    <w:rsid w:val="00991971"/>
    <w:rsid w:val="00992791"/>
    <w:rsid w:val="00992BF2"/>
    <w:rsid w:val="00993ADC"/>
    <w:rsid w:val="00994469"/>
    <w:rsid w:val="00994623"/>
    <w:rsid w:val="009A0114"/>
    <w:rsid w:val="009A68BD"/>
    <w:rsid w:val="009A6B33"/>
    <w:rsid w:val="009A6D7B"/>
    <w:rsid w:val="009A79F8"/>
    <w:rsid w:val="009B3B97"/>
    <w:rsid w:val="009B5EAB"/>
    <w:rsid w:val="009B689A"/>
    <w:rsid w:val="009B6F4E"/>
    <w:rsid w:val="009C2279"/>
    <w:rsid w:val="009C4458"/>
    <w:rsid w:val="009C508A"/>
    <w:rsid w:val="009C7B83"/>
    <w:rsid w:val="009D0819"/>
    <w:rsid w:val="009D105D"/>
    <w:rsid w:val="009D26B3"/>
    <w:rsid w:val="009D346E"/>
    <w:rsid w:val="009D5202"/>
    <w:rsid w:val="009D65A1"/>
    <w:rsid w:val="009D76BB"/>
    <w:rsid w:val="009E04B0"/>
    <w:rsid w:val="009E2D5C"/>
    <w:rsid w:val="009E441D"/>
    <w:rsid w:val="009E4DE5"/>
    <w:rsid w:val="009E6681"/>
    <w:rsid w:val="009E7275"/>
    <w:rsid w:val="009E730C"/>
    <w:rsid w:val="009F1F9D"/>
    <w:rsid w:val="009F238C"/>
    <w:rsid w:val="009F2CCC"/>
    <w:rsid w:val="009F4283"/>
    <w:rsid w:val="009F528C"/>
    <w:rsid w:val="009F5307"/>
    <w:rsid w:val="009F7068"/>
    <w:rsid w:val="009F7BFB"/>
    <w:rsid w:val="00A00E88"/>
    <w:rsid w:val="00A0192A"/>
    <w:rsid w:val="00A01AC7"/>
    <w:rsid w:val="00A01D37"/>
    <w:rsid w:val="00A0253B"/>
    <w:rsid w:val="00A0279A"/>
    <w:rsid w:val="00A02DE9"/>
    <w:rsid w:val="00A04875"/>
    <w:rsid w:val="00A05526"/>
    <w:rsid w:val="00A057BD"/>
    <w:rsid w:val="00A06E51"/>
    <w:rsid w:val="00A106B9"/>
    <w:rsid w:val="00A10D57"/>
    <w:rsid w:val="00A112A1"/>
    <w:rsid w:val="00A12214"/>
    <w:rsid w:val="00A169CE"/>
    <w:rsid w:val="00A25537"/>
    <w:rsid w:val="00A2683C"/>
    <w:rsid w:val="00A30F8F"/>
    <w:rsid w:val="00A31164"/>
    <w:rsid w:val="00A3136D"/>
    <w:rsid w:val="00A32631"/>
    <w:rsid w:val="00A351B2"/>
    <w:rsid w:val="00A35B38"/>
    <w:rsid w:val="00A35D48"/>
    <w:rsid w:val="00A35E34"/>
    <w:rsid w:val="00A35EDC"/>
    <w:rsid w:val="00A36111"/>
    <w:rsid w:val="00A37A78"/>
    <w:rsid w:val="00A40661"/>
    <w:rsid w:val="00A4187A"/>
    <w:rsid w:val="00A42752"/>
    <w:rsid w:val="00A45E59"/>
    <w:rsid w:val="00A46F6F"/>
    <w:rsid w:val="00A479F4"/>
    <w:rsid w:val="00A54FC4"/>
    <w:rsid w:val="00A55D04"/>
    <w:rsid w:val="00A5781B"/>
    <w:rsid w:val="00A63D2C"/>
    <w:rsid w:val="00A652B3"/>
    <w:rsid w:val="00A6739F"/>
    <w:rsid w:val="00A67CBD"/>
    <w:rsid w:val="00A7062A"/>
    <w:rsid w:val="00A715DA"/>
    <w:rsid w:val="00A73E21"/>
    <w:rsid w:val="00A749F2"/>
    <w:rsid w:val="00A763C2"/>
    <w:rsid w:val="00A77667"/>
    <w:rsid w:val="00A8005C"/>
    <w:rsid w:val="00A80394"/>
    <w:rsid w:val="00A8460D"/>
    <w:rsid w:val="00A8715F"/>
    <w:rsid w:val="00A9018D"/>
    <w:rsid w:val="00A9173B"/>
    <w:rsid w:val="00A9288A"/>
    <w:rsid w:val="00A946C8"/>
    <w:rsid w:val="00A946D0"/>
    <w:rsid w:val="00A958F5"/>
    <w:rsid w:val="00A96527"/>
    <w:rsid w:val="00A96EA3"/>
    <w:rsid w:val="00A97AE1"/>
    <w:rsid w:val="00AA030A"/>
    <w:rsid w:val="00AA2163"/>
    <w:rsid w:val="00AA3983"/>
    <w:rsid w:val="00AA3A29"/>
    <w:rsid w:val="00AA44DA"/>
    <w:rsid w:val="00AA5D4F"/>
    <w:rsid w:val="00AA70EA"/>
    <w:rsid w:val="00AA7717"/>
    <w:rsid w:val="00AA7BF9"/>
    <w:rsid w:val="00AB3106"/>
    <w:rsid w:val="00AB3CF0"/>
    <w:rsid w:val="00AB3D43"/>
    <w:rsid w:val="00AB4565"/>
    <w:rsid w:val="00AB4CB8"/>
    <w:rsid w:val="00AB5D99"/>
    <w:rsid w:val="00AC2417"/>
    <w:rsid w:val="00AC4768"/>
    <w:rsid w:val="00AC4F9A"/>
    <w:rsid w:val="00AD2968"/>
    <w:rsid w:val="00AD3ABB"/>
    <w:rsid w:val="00AD4A29"/>
    <w:rsid w:val="00AD4D7F"/>
    <w:rsid w:val="00AE03FB"/>
    <w:rsid w:val="00AE055B"/>
    <w:rsid w:val="00AE0570"/>
    <w:rsid w:val="00AE0B29"/>
    <w:rsid w:val="00AE1BC2"/>
    <w:rsid w:val="00AE349A"/>
    <w:rsid w:val="00AE3FAF"/>
    <w:rsid w:val="00AE4EFC"/>
    <w:rsid w:val="00AE5111"/>
    <w:rsid w:val="00AE5B78"/>
    <w:rsid w:val="00AE7001"/>
    <w:rsid w:val="00AE78EB"/>
    <w:rsid w:val="00AF0F50"/>
    <w:rsid w:val="00AF6CCB"/>
    <w:rsid w:val="00AF7DB3"/>
    <w:rsid w:val="00AF7FFE"/>
    <w:rsid w:val="00B07C81"/>
    <w:rsid w:val="00B10118"/>
    <w:rsid w:val="00B101F8"/>
    <w:rsid w:val="00B11282"/>
    <w:rsid w:val="00B11537"/>
    <w:rsid w:val="00B13E6B"/>
    <w:rsid w:val="00B1452B"/>
    <w:rsid w:val="00B14B14"/>
    <w:rsid w:val="00B263F9"/>
    <w:rsid w:val="00B2664A"/>
    <w:rsid w:val="00B32D94"/>
    <w:rsid w:val="00B32F99"/>
    <w:rsid w:val="00B33B8E"/>
    <w:rsid w:val="00B3466D"/>
    <w:rsid w:val="00B34FB1"/>
    <w:rsid w:val="00B3549D"/>
    <w:rsid w:val="00B35B97"/>
    <w:rsid w:val="00B35BF7"/>
    <w:rsid w:val="00B40022"/>
    <w:rsid w:val="00B40085"/>
    <w:rsid w:val="00B40FED"/>
    <w:rsid w:val="00B41135"/>
    <w:rsid w:val="00B42392"/>
    <w:rsid w:val="00B4311D"/>
    <w:rsid w:val="00B432FE"/>
    <w:rsid w:val="00B44EDA"/>
    <w:rsid w:val="00B45795"/>
    <w:rsid w:val="00B479F4"/>
    <w:rsid w:val="00B50AB9"/>
    <w:rsid w:val="00B54B11"/>
    <w:rsid w:val="00B555FE"/>
    <w:rsid w:val="00B55EC9"/>
    <w:rsid w:val="00B6221D"/>
    <w:rsid w:val="00B65072"/>
    <w:rsid w:val="00B7152D"/>
    <w:rsid w:val="00B74445"/>
    <w:rsid w:val="00B74953"/>
    <w:rsid w:val="00B74B9A"/>
    <w:rsid w:val="00B74BD6"/>
    <w:rsid w:val="00B76D56"/>
    <w:rsid w:val="00B77473"/>
    <w:rsid w:val="00B82544"/>
    <w:rsid w:val="00B9002B"/>
    <w:rsid w:val="00B90647"/>
    <w:rsid w:val="00B90ED4"/>
    <w:rsid w:val="00B91CA2"/>
    <w:rsid w:val="00B92486"/>
    <w:rsid w:val="00B9284B"/>
    <w:rsid w:val="00B95A07"/>
    <w:rsid w:val="00B979C3"/>
    <w:rsid w:val="00BA07EC"/>
    <w:rsid w:val="00BA12D6"/>
    <w:rsid w:val="00BA14C2"/>
    <w:rsid w:val="00BA355D"/>
    <w:rsid w:val="00BA3810"/>
    <w:rsid w:val="00BA3C82"/>
    <w:rsid w:val="00BA4325"/>
    <w:rsid w:val="00BA4866"/>
    <w:rsid w:val="00BA6A90"/>
    <w:rsid w:val="00BA7274"/>
    <w:rsid w:val="00BB2F4C"/>
    <w:rsid w:val="00BB3544"/>
    <w:rsid w:val="00BB5936"/>
    <w:rsid w:val="00BB6DE3"/>
    <w:rsid w:val="00BC041F"/>
    <w:rsid w:val="00BC09C7"/>
    <w:rsid w:val="00BC193D"/>
    <w:rsid w:val="00BC20F1"/>
    <w:rsid w:val="00BC3F64"/>
    <w:rsid w:val="00BC462F"/>
    <w:rsid w:val="00BC5B47"/>
    <w:rsid w:val="00BD03C2"/>
    <w:rsid w:val="00BD0428"/>
    <w:rsid w:val="00BD047E"/>
    <w:rsid w:val="00BD1A42"/>
    <w:rsid w:val="00BD2302"/>
    <w:rsid w:val="00BD48A9"/>
    <w:rsid w:val="00BD4A37"/>
    <w:rsid w:val="00BD675A"/>
    <w:rsid w:val="00BD71C6"/>
    <w:rsid w:val="00BE283B"/>
    <w:rsid w:val="00BE6724"/>
    <w:rsid w:val="00BE78F6"/>
    <w:rsid w:val="00BF1DC0"/>
    <w:rsid w:val="00BF277C"/>
    <w:rsid w:val="00BF5CCD"/>
    <w:rsid w:val="00BF60EC"/>
    <w:rsid w:val="00BF669D"/>
    <w:rsid w:val="00BF6E00"/>
    <w:rsid w:val="00BF6EB9"/>
    <w:rsid w:val="00BF6F6C"/>
    <w:rsid w:val="00C01472"/>
    <w:rsid w:val="00C03785"/>
    <w:rsid w:val="00C03DD7"/>
    <w:rsid w:val="00C04761"/>
    <w:rsid w:val="00C0500A"/>
    <w:rsid w:val="00C05633"/>
    <w:rsid w:val="00C06B5C"/>
    <w:rsid w:val="00C1098F"/>
    <w:rsid w:val="00C13309"/>
    <w:rsid w:val="00C134C6"/>
    <w:rsid w:val="00C13AE9"/>
    <w:rsid w:val="00C1401D"/>
    <w:rsid w:val="00C160CE"/>
    <w:rsid w:val="00C164A7"/>
    <w:rsid w:val="00C17D7B"/>
    <w:rsid w:val="00C23F90"/>
    <w:rsid w:val="00C269FF"/>
    <w:rsid w:val="00C27735"/>
    <w:rsid w:val="00C31C5A"/>
    <w:rsid w:val="00C33923"/>
    <w:rsid w:val="00C35F4B"/>
    <w:rsid w:val="00C36302"/>
    <w:rsid w:val="00C40EDB"/>
    <w:rsid w:val="00C41E37"/>
    <w:rsid w:val="00C42F34"/>
    <w:rsid w:val="00C440D8"/>
    <w:rsid w:val="00C44F50"/>
    <w:rsid w:val="00C45B76"/>
    <w:rsid w:val="00C47143"/>
    <w:rsid w:val="00C471F0"/>
    <w:rsid w:val="00C51A02"/>
    <w:rsid w:val="00C51B77"/>
    <w:rsid w:val="00C52689"/>
    <w:rsid w:val="00C5321D"/>
    <w:rsid w:val="00C551F6"/>
    <w:rsid w:val="00C61A9D"/>
    <w:rsid w:val="00C6250A"/>
    <w:rsid w:val="00C62FDD"/>
    <w:rsid w:val="00C634AD"/>
    <w:rsid w:val="00C64E17"/>
    <w:rsid w:val="00C71C43"/>
    <w:rsid w:val="00C73373"/>
    <w:rsid w:val="00C759D4"/>
    <w:rsid w:val="00C76279"/>
    <w:rsid w:val="00C80173"/>
    <w:rsid w:val="00C81E8C"/>
    <w:rsid w:val="00C84DDF"/>
    <w:rsid w:val="00C866CE"/>
    <w:rsid w:val="00C86EEF"/>
    <w:rsid w:val="00C87073"/>
    <w:rsid w:val="00C8725E"/>
    <w:rsid w:val="00C90799"/>
    <w:rsid w:val="00C91078"/>
    <w:rsid w:val="00C91A95"/>
    <w:rsid w:val="00C91C38"/>
    <w:rsid w:val="00C92FC6"/>
    <w:rsid w:val="00C948D6"/>
    <w:rsid w:val="00C94B4B"/>
    <w:rsid w:val="00C96911"/>
    <w:rsid w:val="00CA13B6"/>
    <w:rsid w:val="00CA1C83"/>
    <w:rsid w:val="00CA3ADA"/>
    <w:rsid w:val="00CA4EC7"/>
    <w:rsid w:val="00CA5439"/>
    <w:rsid w:val="00CA7819"/>
    <w:rsid w:val="00CB2071"/>
    <w:rsid w:val="00CB21F7"/>
    <w:rsid w:val="00CB5947"/>
    <w:rsid w:val="00CB5EB1"/>
    <w:rsid w:val="00CC2B83"/>
    <w:rsid w:val="00CC5A84"/>
    <w:rsid w:val="00CC6DEB"/>
    <w:rsid w:val="00CC6EAD"/>
    <w:rsid w:val="00CD110A"/>
    <w:rsid w:val="00CD4237"/>
    <w:rsid w:val="00CD558B"/>
    <w:rsid w:val="00CD5658"/>
    <w:rsid w:val="00CD6B9B"/>
    <w:rsid w:val="00CE1217"/>
    <w:rsid w:val="00CE1C77"/>
    <w:rsid w:val="00CE47BF"/>
    <w:rsid w:val="00CE55F8"/>
    <w:rsid w:val="00CE5AA3"/>
    <w:rsid w:val="00CF12DC"/>
    <w:rsid w:val="00CF1775"/>
    <w:rsid w:val="00CF1E02"/>
    <w:rsid w:val="00CF4C07"/>
    <w:rsid w:val="00CF5B84"/>
    <w:rsid w:val="00CF5F90"/>
    <w:rsid w:val="00CF7745"/>
    <w:rsid w:val="00D016E0"/>
    <w:rsid w:val="00D0253B"/>
    <w:rsid w:val="00D069B7"/>
    <w:rsid w:val="00D06E15"/>
    <w:rsid w:val="00D06F00"/>
    <w:rsid w:val="00D06F04"/>
    <w:rsid w:val="00D0762B"/>
    <w:rsid w:val="00D07B8C"/>
    <w:rsid w:val="00D1051E"/>
    <w:rsid w:val="00D12E94"/>
    <w:rsid w:val="00D144FA"/>
    <w:rsid w:val="00D15BD6"/>
    <w:rsid w:val="00D16515"/>
    <w:rsid w:val="00D168B9"/>
    <w:rsid w:val="00D22567"/>
    <w:rsid w:val="00D22859"/>
    <w:rsid w:val="00D26625"/>
    <w:rsid w:val="00D30CF8"/>
    <w:rsid w:val="00D31CCF"/>
    <w:rsid w:val="00D32D12"/>
    <w:rsid w:val="00D34581"/>
    <w:rsid w:val="00D366BA"/>
    <w:rsid w:val="00D428E5"/>
    <w:rsid w:val="00D45979"/>
    <w:rsid w:val="00D46389"/>
    <w:rsid w:val="00D510D5"/>
    <w:rsid w:val="00D52309"/>
    <w:rsid w:val="00D5560F"/>
    <w:rsid w:val="00D56CC2"/>
    <w:rsid w:val="00D56ED3"/>
    <w:rsid w:val="00D60EC3"/>
    <w:rsid w:val="00D62CA9"/>
    <w:rsid w:val="00D65A55"/>
    <w:rsid w:val="00D70360"/>
    <w:rsid w:val="00D733B3"/>
    <w:rsid w:val="00D74803"/>
    <w:rsid w:val="00D74F97"/>
    <w:rsid w:val="00D774FF"/>
    <w:rsid w:val="00D80265"/>
    <w:rsid w:val="00D8507A"/>
    <w:rsid w:val="00D85AE3"/>
    <w:rsid w:val="00D87883"/>
    <w:rsid w:val="00D90E43"/>
    <w:rsid w:val="00D91927"/>
    <w:rsid w:val="00D92498"/>
    <w:rsid w:val="00D92D63"/>
    <w:rsid w:val="00D96A97"/>
    <w:rsid w:val="00D96E3C"/>
    <w:rsid w:val="00D978DE"/>
    <w:rsid w:val="00D97F0F"/>
    <w:rsid w:val="00DA063B"/>
    <w:rsid w:val="00DA228F"/>
    <w:rsid w:val="00DA2A27"/>
    <w:rsid w:val="00DA4900"/>
    <w:rsid w:val="00DA5A5C"/>
    <w:rsid w:val="00DB2ED7"/>
    <w:rsid w:val="00DB43EF"/>
    <w:rsid w:val="00DB4E67"/>
    <w:rsid w:val="00DB504D"/>
    <w:rsid w:val="00DB62E5"/>
    <w:rsid w:val="00DB71CD"/>
    <w:rsid w:val="00DC0FF6"/>
    <w:rsid w:val="00DC127C"/>
    <w:rsid w:val="00DC19C9"/>
    <w:rsid w:val="00DC3871"/>
    <w:rsid w:val="00DC4A66"/>
    <w:rsid w:val="00DC783D"/>
    <w:rsid w:val="00DD1881"/>
    <w:rsid w:val="00DD239A"/>
    <w:rsid w:val="00DD484D"/>
    <w:rsid w:val="00DD50A5"/>
    <w:rsid w:val="00DD5856"/>
    <w:rsid w:val="00DD5DED"/>
    <w:rsid w:val="00DD7988"/>
    <w:rsid w:val="00DE0817"/>
    <w:rsid w:val="00DE3A94"/>
    <w:rsid w:val="00DE3B87"/>
    <w:rsid w:val="00DE3E3E"/>
    <w:rsid w:val="00DE7913"/>
    <w:rsid w:val="00DF2F01"/>
    <w:rsid w:val="00DF5A82"/>
    <w:rsid w:val="00DF5CFB"/>
    <w:rsid w:val="00DF5D46"/>
    <w:rsid w:val="00E004F0"/>
    <w:rsid w:val="00E03748"/>
    <w:rsid w:val="00E0455C"/>
    <w:rsid w:val="00E05DB9"/>
    <w:rsid w:val="00E10C21"/>
    <w:rsid w:val="00E13313"/>
    <w:rsid w:val="00E144DB"/>
    <w:rsid w:val="00E16ACF"/>
    <w:rsid w:val="00E17546"/>
    <w:rsid w:val="00E17835"/>
    <w:rsid w:val="00E17BF3"/>
    <w:rsid w:val="00E2272D"/>
    <w:rsid w:val="00E24DF5"/>
    <w:rsid w:val="00E256A0"/>
    <w:rsid w:val="00E277F7"/>
    <w:rsid w:val="00E30AEE"/>
    <w:rsid w:val="00E31206"/>
    <w:rsid w:val="00E33C5E"/>
    <w:rsid w:val="00E370A7"/>
    <w:rsid w:val="00E44794"/>
    <w:rsid w:val="00E45946"/>
    <w:rsid w:val="00E46DAE"/>
    <w:rsid w:val="00E5188A"/>
    <w:rsid w:val="00E55E9E"/>
    <w:rsid w:val="00E579DA"/>
    <w:rsid w:val="00E6095E"/>
    <w:rsid w:val="00E620AF"/>
    <w:rsid w:val="00E62E75"/>
    <w:rsid w:val="00E66DB4"/>
    <w:rsid w:val="00E7069D"/>
    <w:rsid w:val="00E73938"/>
    <w:rsid w:val="00E74454"/>
    <w:rsid w:val="00E7524F"/>
    <w:rsid w:val="00E761F3"/>
    <w:rsid w:val="00E81366"/>
    <w:rsid w:val="00E83578"/>
    <w:rsid w:val="00E835D0"/>
    <w:rsid w:val="00E84159"/>
    <w:rsid w:val="00E85A0C"/>
    <w:rsid w:val="00E85C8C"/>
    <w:rsid w:val="00E86601"/>
    <w:rsid w:val="00E87FBF"/>
    <w:rsid w:val="00E90DC6"/>
    <w:rsid w:val="00E91EDF"/>
    <w:rsid w:val="00E92272"/>
    <w:rsid w:val="00E925A0"/>
    <w:rsid w:val="00E9357B"/>
    <w:rsid w:val="00E938B6"/>
    <w:rsid w:val="00E947D7"/>
    <w:rsid w:val="00E94C9C"/>
    <w:rsid w:val="00E95B48"/>
    <w:rsid w:val="00E9645C"/>
    <w:rsid w:val="00E97EAB"/>
    <w:rsid w:val="00EA3001"/>
    <w:rsid w:val="00EA7486"/>
    <w:rsid w:val="00EB2A28"/>
    <w:rsid w:val="00EB6B13"/>
    <w:rsid w:val="00EB780D"/>
    <w:rsid w:val="00EC01F9"/>
    <w:rsid w:val="00EC0C11"/>
    <w:rsid w:val="00EC0D62"/>
    <w:rsid w:val="00EC39D6"/>
    <w:rsid w:val="00EC3C99"/>
    <w:rsid w:val="00EC5BA8"/>
    <w:rsid w:val="00EC73E9"/>
    <w:rsid w:val="00ED06D2"/>
    <w:rsid w:val="00ED115A"/>
    <w:rsid w:val="00ED1D03"/>
    <w:rsid w:val="00ED2319"/>
    <w:rsid w:val="00EE1E84"/>
    <w:rsid w:val="00EE235F"/>
    <w:rsid w:val="00EE3320"/>
    <w:rsid w:val="00EE4A04"/>
    <w:rsid w:val="00EE57AD"/>
    <w:rsid w:val="00EE5FD3"/>
    <w:rsid w:val="00EF1320"/>
    <w:rsid w:val="00EF1A41"/>
    <w:rsid w:val="00EF778B"/>
    <w:rsid w:val="00EF77A1"/>
    <w:rsid w:val="00EF7843"/>
    <w:rsid w:val="00F0045D"/>
    <w:rsid w:val="00F03768"/>
    <w:rsid w:val="00F04C55"/>
    <w:rsid w:val="00F12BC2"/>
    <w:rsid w:val="00F12C88"/>
    <w:rsid w:val="00F16422"/>
    <w:rsid w:val="00F17685"/>
    <w:rsid w:val="00F20816"/>
    <w:rsid w:val="00F239FF"/>
    <w:rsid w:val="00F23A6C"/>
    <w:rsid w:val="00F2670F"/>
    <w:rsid w:val="00F271EA"/>
    <w:rsid w:val="00F27AB4"/>
    <w:rsid w:val="00F3091B"/>
    <w:rsid w:val="00F32E66"/>
    <w:rsid w:val="00F33C7A"/>
    <w:rsid w:val="00F34092"/>
    <w:rsid w:val="00F35C51"/>
    <w:rsid w:val="00F36261"/>
    <w:rsid w:val="00F37A82"/>
    <w:rsid w:val="00F37D7A"/>
    <w:rsid w:val="00F40119"/>
    <w:rsid w:val="00F414D5"/>
    <w:rsid w:val="00F41859"/>
    <w:rsid w:val="00F41FE3"/>
    <w:rsid w:val="00F440A3"/>
    <w:rsid w:val="00F456E1"/>
    <w:rsid w:val="00F5304F"/>
    <w:rsid w:val="00F5425A"/>
    <w:rsid w:val="00F54E6B"/>
    <w:rsid w:val="00F5575E"/>
    <w:rsid w:val="00F57F48"/>
    <w:rsid w:val="00F6069A"/>
    <w:rsid w:val="00F6162B"/>
    <w:rsid w:val="00F617D7"/>
    <w:rsid w:val="00F61EC2"/>
    <w:rsid w:val="00F62AD0"/>
    <w:rsid w:val="00F63388"/>
    <w:rsid w:val="00F643C1"/>
    <w:rsid w:val="00F64783"/>
    <w:rsid w:val="00F66385"/>
    <w:rsid w:val="00F70A92"/>
    <w:rsid w:val="00F715EF"/>
    <w:rsid w:val="00F739F5"/>
    <w:rsid w:val="00F747BE"/>
    <w:rsid w:val="00F771F1"/>
    <w:rsid w:val="00F81547"/>
    <w:rsid w:val="00F83719"/>
    <w:rsid w:val="00F850CB"/>
    <w:rsid w:val="00F85E5F"/>
    <w:rsid w:val="00F910DF"/>
    <w:rsid w:val="00F911CF"/>
    <w:rsid w:val="00F91755"/>
    <w:rsid w:val="00F94888"/>
    <w:rsid w:val="00F94B5C"/>
    <w:rsid w:val="00F95585"/>
    <w:rsid w:val="00FA0727"/>
    <w:rsid w:val="00FA0F32"/>
    <w:rsid w:val="00FA17CC"/>
    <w:rsid w:val="00FA6AD1"/>
    <w:rsid w:val="00FA71E9"/>
    <w:rsid w:val="00FA7CEC"/>
    <w:rsid w:val="00FB0C3A"/>
    <w:rsid w:val="00FB332F"/>
    <w:rsid w:val="00FB3FCD"/>
    <w:rsid w:val="00FB691D"/>
    <w:rsid w:val="00FB7FE5"/>
    <w:rsid w:val="00FC0D68"/>
    <w:rsid w:val="00FC2BF9"/>
    <w:rsid w:val="00FC38D2"/>
    <w:rsid w:val="00FC456A"/>
    <w:rsid w:val="00FC7974"/>
    <w:rsid w:val="00FC7A4B"/>
    <w:rsid w:val="00FD2C4A"/>
    <w:rsid w:val="00FD31FA"/>
    <w:rsid w:val="00FD39E6"/>
    <w:rsid w:val="00FD5F52"/>
    <w:rsid w:val="00FD618A"/>
    <w:rsid w:val="00FE07FA"/>
    <w:rsid w:val="00FE457E"/>
    <w:rsid w:val="00FE6D06"/>
    <w:rsid w:val="00FF033C"/>
    <w:rsid w:val="00FF15BC"/>
    <w:rsid w:val="00FF4B92"/>
    <w:rsid w:val="00FF51CB"/>
    <w:rsid w:val="00FF700E"/>
    <w:rsid w:val="00FF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B44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4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44D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4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B44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4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4B44DF"/>
    <w:pPr>
      <w:ind w:firstLineChars="200" w:firstLine="420"/>
    </w:pPr>
  </w:style>
  <w:style w:type="paragraph" w:styleId="a6">
    <w:name w:val="caption"/>
    <w:basedOn w:val="a"/>
    <w:next w:val="a"/>
    <w:uiPriority w:val="35"/>
    <w:unhideWhenUsed/>
    <w:qFormat/>
    <w:rsid w:val="004B44DF"/>
    <w:rPr>
      <w:rFonts w:asciiTheme="majorHAnsi" w:eastAsia="黑体" w:hAnsiTheme="majorHAnsi" w:cstheme="majorBidi"/>
      <w:sz w:val="20"/>
      <w:szCs w:val="20"/>
    </w:rPr>
  </w:style>
  <w:style w:type="paragraph" w:customStyle="1" w:styleId="10">
    <w:name w:val="列出段落1"/>
    <w:basedOn w:val="a"/>
    <w:rsid w:val="004B44DF"/>
    <w:pPr>
      <w:ind w:firstLineChars="200" w:firstLine="200"/>
    </w:pPr>
  </w:style>
  <w:style w:type="paragraph" w:styleId="a7">
    <w:name w:val="Balloon Text"/>
    <w:basedOn w:val="a"/>
    <w:link w:val="Char1"/>
    <w:uiPriority w:val="99"/>
    <w:semiHidden/>
    <w:unhideWhenUsed/>
    <w:rsid w:val="004B44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44D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942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2">
    <w:name w:val="Light Shading Accent 2"/>
    <w:basedOn w:val="a1"/>
    <w:uiPriority w:val="60"/>
    <w:rsid w:val="00A946C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B44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4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44D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4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B44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4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4B44DF"/>
    <w:pPr>
      <w:ind w:firstLineChars="200" w:firstLine="420"/>
    </w:pPr>
  </w:style>
  <w:style w:type="paragraph" w:styleId="a6">
    <w:name w:val="caption"/>
    <w:basedOn w:val="a"/>
    <w:next w:val="a"/>
    <w:uiPriority w:val="35"/>
    <w:unhideWhenUsed/>
    <w:qFormat/>
    <w:rsid w:val="004B44DF"/>
    <w:rPr>
      <w:rFonts w:asciiTheme="majorHAnsi" w:eastAsia="黑体" w:hAnsiTheme="majorHAnsi" w:cstheme="majorBidi"/>
      <w:sz w:val="20"/>
      <w:szCs w:val="20"/>
    </w:rPr>
  </w:style>
  <w:style w:type="paragraph" w:customStyle="1" w:styleId="10">
    <w:name w:val="列出段落1"/>
    <w:basedOn w:val="a"/>
    <w:rsid w:val="004B44DF"/>
    <w:pPr>
      <w:ind w:firstLineChars="200" w:firstLine="200"/>
    </w:pPr>
  </w:style>
  <w:style w:type="paragraph" w:styleId="a7">
    <w:name w:val="Balloon Text"/>
    <w:basedOn w:val="a"/>
    <w:link w:val="Char1"/>
    <w:uiPriority w:val="99"/>
    <w:semiHidden/>
    <w:unhideWhenUsed/>
    <w:rsid w:val="004B44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44D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942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2">
    <w:name w:val="Light Shading Accent 2"/>
    <w:basedOn w:val="a1"/>
    <w:uiPriority w:val="60"/>
    <w:rsid w:val="00A946C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chart" Target="charts/chart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chenth1\Desktop\2017&#24180;&#25253;\2017&#24180;&#35268;&#21010;&#31295;\&#27599;&#26376;&#35268;&#21010;&#27719;&#24635;\&#26694;&#2655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018301312335958"/>
                  <c:y val="0.1677282377919320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1530681592977674"/>
                  <c:y val="8.77459829716407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3723842519685039"/>
                  <c:y val="0.1860775364862831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50" b="1">
                    <a:solidFill>
                      <a:schemeClr val="bg1"/>
                    </a:solidFill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Sheet3!$E$22:$E$25</c:f>
              <c:strCache>
                <c:ptCount val="4"/>
                <c:pt idx="0">
                  <c:v>白云区</c:v>
                </c:pt>
                <c:pt idx="1">
                  <c:v>荔湾区</c:v>
                </c:pt>
                <c:pt idx="2">
                  <c:v>天河区</c:v>
                </c:pt>
                <c:pt idx="3">
                  <c:v>增城区</c:v>
                </c:pt>
              </c:strCache>
            </c:strRef>
          </c:cat>
          <c:val>
            <c:numRef>
              <c:f>Sheet3!$F$22:$F$25</c:f>
              <c:numCache>
                <c:formatCode>General</c:formatCode>
                <c:ptCount val="4"/>
                <c:pt idx="0">
                  <c:v>26.9</c:v>
                </c:pt>
                <c:pt idx="1">
                  <c:v>172.33999999999997</c:v>
                </c:pt>
                <c:pt idx="2">
                  <c:v>6.7</c:v>
                </c:pt>
                <c:pt idx="3">
                  <c:v>39.57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0.57274</cdr:x>
      <cdr:y>0.88347</cdr:y>
    </cdr:from>
    <cdr:to>
      <cdr:x>0.97606</cdr:x>
      <cdr:y>0.95393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62275" y="3105150"/>
          <a:ext cx="20859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zh-CN" altLang="en-US" sz="1000"/>
            <a:t>数据来源：广州中原研究发展部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85278-736A-4BD0-A2A1-8A739CC8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15</Pages>
  <Words>1162</Words>
  <Characters>6629</Characters>
  <Application>Microsoft Office Word</Application>
  <DocSecurity>0</DocSecurity>
  <Lines>55</Lines>
  <Paragraphs>15</Paragraphs>
  <ScaleCrop>false</ScaleCrop>
  <Company>22</Company>
  <LinksUpToDate>false</LinksUpToDate>
  <CharactersWithSpaces>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ADMR16陈庭宏</dc:creator>
  <cp:lastModifiedBy>ADMR16陈庭宏</cp:lastModifiedBy>
  <cp:revision>359</cp:revision>
  <dcterms:created xsi:type="dcterms:W3CDTF">2017-11-22T03:05:00Z</dcterms:created>
  <dcterms:modified xsi:type="dcterms:W3CDTF">2018-01-03T10:40:00Z</dcterms:modified>
</cp:coreProperties>
</file>