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3" w:rsidRPr="00154C55" w:rsidRDefault="00F24E92" w:rsidP="00154C55">
      <w:pPr>
        <w:pStyle w:val="1"/>
        <w:jc w:val="center"/>
        <w:rPr>
          <w:rFonts w:ascii="宋体" w:eastAsia="宋体" w:hAnsi="宋体"/>
        </w:rPr>
      </w:pPr>
      <w:r w:rsidRPr="00154C55">
        <w:rPr>
          <w:rFonts w:ascii="宋体" w:eastAsia="宋体" w:hAnsi="宋体" w:hint="eastAsia"/>
        </w:rPr>
        <w:t>2015-2016</w:t>
      </w:r>
      <w:proofErr w:type="gramStart"/>
      <w:r w:rsidR="00C54700" w:rsidRPr="00154C55">
        <w:rPr>
          <w:rFonts w:ascii="宋体" w:eastAsia="宋体" w:hAnsi="宋体" w:hint="eastAsia"/>
        </w:rPr>
        <w:t>广厦奖</w:t>
      </w:r>
      <w:proofErr w:type="gramEnd"/>
      <w:r w:rsidR="007E1543" w:rsidRPr="00154C55">
        <w:rPr>
          <w:rFonts w:ascii="宋体" w:eastAsia="宋体" w:hAnsi="宋体" w:hint="eastAsia"/>
        </w:rPr>
        <w:t>获奖</w:t>
      </w:r>
      <w:r w:rsidR="00C54700" w:rsidRPr="00154C55">
        <w:rPr>
          <w:rFonts w:ascii="宋体" w:eastAsia="宋体" w:hAnsi="宋体" w:hint="eastAsia"/>
        </w:rPr>
        <w:t>项目测评</w:t>
      </w:r>
    </w:p>
    <w:p w:rsidR="00914FA7" w:rsidRPr="00154C55" w:rsidRDefault="007007E4" w:rsidP="00154C55">
      <w:pPr>
        <w:spacing w:line="360" w:lineRule="auto"/>
        <w:ind w:leftChars="-405" w:left="-850" w:rightChars="-364" w:right="-764" w:firstLineChars="200" w:firstLine="420"/>
        <w:rPr>
          <w:rFonts w:ascii="宋体" w:eastAsia="宋体" w:hAnsi="宋体"/>
          <w:szCs w:val="21"/>
        </w:rPr>
      </w:pPr>
      <w:r w:rsidRPr="00154C55">
        <w:rPr>
          <w:rFonts w:ascii="宋体" w:eastAsia="宋体" w:hAnsi="宋体" w:hint="eastAsia"/>
          <w:szCs w:val="21"/>
        </w:rPr>
        <w:t>基于</w:t>
      </w:r>
      <w:proofErr w:type="gramStart"/>
      <w:r w:rsidRPr="00154C55">
        <w:rPr>
          <w:rFonts w:ascii="宋体" w:eastAsia="宋体" w:hAnsi="宋体" w:hint="eastAsia"/>
          <w:szCs w:val="21"/>
        </w:rPr>
        <w:t>禧</w:t>
      </w:r>
      <w:proofErr w:type="gramEnd"/>
      <w:r w:rsidRPr="00154C55">
        <w:rPr>
          <w:rFonts w:ascii="宋体" w:eastAsia="宋体" w:hAnsi="宋体" w:hint="eastAsia"/>
          <w:szCs w:val="21"/>
        </w:rPr>
        <w:t>泰房地产</w:t>
      </w:r>
      <w:r w:rsidR="00ED5593" w:rsidRPr="00154C55">
        <w:rPr>
          <w:rFonts w:ascii="宋体" w:eastAsia="宋体" w:hAnsi="宋体" w:hint="eastAsia"/>
          <w:szCs w:val="21"/>
        </w:rPr>
        <w:t>大</w:t>
      </w:r>
      <w:r w:rsidR="000A164B" w:rsidRPr="00154C55">
        <w:rPr>
          <w:rFonts w:ascii="宋体" w:eastAsia="宋体" w:hAnsi="宋体" w:hint="eastAsia"/>
          <w:szCs w:val="21"/>
        </w:rPr>
        <w:t>数据</w:t>
      </w:r>
      <w:r w:rsidR="000C7CD3">
        <w:rPr>
          <w:rFonts w:ascii="宋体" w:eastAsia="宋体" w:hAnsi="宋体" w:hint="eastAsia"/>
          <w:szCs w:val="21"/>
        </w:rPr>
        <w:t>[1]</w:t>
      </w:r>
      <w:r w:rsidR="000A164B" w:rsidRPr="00154C55">
        <w:rPr>
          <w:rFonts w:ascii="宋体" w:eastAsia="宋体" w:hAnsi="宋体" w:hint="eastAsia"/>
          <w:szCs w:val="21"/>
        </w:rPr>
        <w:t>，</w:t>
      </w:r>
      <w:r w:rsidR="00914FA7" w:rsidRPr="00154C55">
        <w:rPr>
          <w:rFonts w:ascii="宋体" w:eastAsia="宋体" w:hAnsi="宋体" w:hint="eastAsia"/>
          <w:szCs w:val="21"/>
        </w:rPr>
        <w:t>从建筑品质、生活便利度</w:t>
      </w:r>
      <w:r w:rsidR="00BC25EF" w:rsidRPr="00154C55">
        <w:rPr>
          <w:rFonts w:ascii="宋体" w:eastAsia="宋体" w:hAnsi="宋体" w:hint="eastAsia"/>
          <w:szCs w:val="21"/>
        </w:rPr>
        <w:t>、</w:t>
      </w:r>
      <w:r w:rsidR="00914FA7" w:rsidRPr="00154C55">
        <w:rPr>
          <w:rFonts w:ascii="宋体" w:eastAsia="宋体" w:hAnsi="宋体" w:hint="eastAsia"/>
          <w:szCs w:val="21"/>
        </w:rPr>
        <w:t>以及</w:t>
      </w:r>
      <w:r w:rsidR="00F533A9" w:rsidRPr="00154C55">
        <w:rPr>
          <w:rFonts w:ascii="宋体" w:eastAsia="宋体" w:hAnsi="宋体" w:hint="eastAsia"/>
          <w:szCs w:val="21"/>
        </w:rPr>
        <w:t>综合（其他）</w:t>
      </w:r>
      <w:r w:rsidR="00914FA7" w:rsidRPr="00154C55">
        <w:rPr>
          <w:rFonts w:ascii="宋体" w:eastAsia="宋体" w:hAnsi="宋体" w:hint="eastAsia"/>
          <w:szCs w:val="21"/>
        </w:rPr>
        <w:t>属性</w:t>
      </w:r>
      <w:r w:rsidR="0021005B" w:rsidRPr="00154C55">
        <w:rPr>
          <w:rFonts w:ascii="宋体" w:eastAsia="宋体" w:hAnsi="宋体" w:hint="eastAsia"/>
          <w:szCs w:val="21"/>
        </w:rPr>
        <w:t>3</w:t>
      </w:r>
      <w:r w:rsidR="00966A68" w:rsidRPr="00154C55">
        <w:rPr>
          <w:rFonts w:ascii="宋体" w:eastAsia="宋体" w:hAnsi="宋体" w:hint="eastAsia"/>
          <w:szCs w:val="21"/>
        </w:rPr>
        <w:t>个</w:t>
      </w:r>
      <w:r w:rsidR="00914FA7" w:rsidRPr="00154C55">
        <w:rPr>
          <w:rFonts w:ascii="宋体" w:eastAsia="宋体" w:hAnsi="宋体" w:hint="eastAsia"/>
          <w:szCs w:val="21"/>
        </w:rPr>
        <w:t>方面</w:t>
      </w:r>
      <w:r w:rsidR="000D0385" w:rsidRPr="00154C55">
        <w:rPr>
          <w:rFonts w:ascii="宋体" w:eastAsia="宋体" w:hAnsi="宋体" w:hint="eastAsia"/>
          <w:szCs w:val="21"/>
        </w:rPr>
        <w:t>，</w:t>
      </w:r>
      <w:r w:rsidR="00A76882" w:rsidRPr="00154C55">
        <w:rPr>
          <w:rFonts w:ascii="宋体" w:eastAsia="宋体" w:hAnsi="宋体" w:hint="eastAsia"/>
          <w:szCs w:val="21"/>
        </w:rPr>
        <w:t>具体</w:t>
      </w:r>
      <w:r w:rsidR="00514F8E" w:rsidRPr="00154C55">
        <w:rPr>
          <w:rFonts w:ascii="宋体" w:eastAsia="宋体" w:hAnsi="宋体" w:hint="eastAsia"/>
          <w:szCs w:val="21"/>
        </w:rPr>
        <w:t>10</w:t>
      </w:r>
      <w:r w:rsidR="00A76882" w:rsidRPr="00154C55">
        <w:rPr>
          <w:rFonts w:ascii="宋体" w:eastAsia="宋体" w:hAnsi="宋体" w:hint="eastAsia"/>
          <w:szCs w:val="21"/>
        </w:rPr>
        <w:t>个指标</w:t>
      </w:r>
      <w:r w:rsidR="00914FA7" w:rsidRPr="00154C55">
        <w:rPr>
          <w:rFonts w:ascii="宋体" w:eastAsia="宋体" w:hAnsi="宋体" w:hint="eastAsia"/>
          <w:szCs w:val="21"/>
        </w:rPr>
        <w:t>进行</w:t>
      </w:r>
      <w:r w:rsidR="000D0385" w:rsidRPr="00154C55">
        <w:rPr>
          <w:rFonts w:ascii="宋体" w:eastAsia="宋体" w:hAnsi="宋体" w:hint="eastAsia"/>
          <w:szCs w:val="21"/>
        </w:rPr>
        <w:t>综合评分。</w:t>
      </w:r>
      <w:bookmarkStart w:id="0" w:name="_GoBack"/>
      <w:bookmarkEnd w:id="0"/>
    </w:p>
    <w:p w:rsidR="00A47348" w:rsidRDefault="004B3C58" w:rsidP="004B3C58">
      <w:pPr>
        <w:pStyle w:val="1"/>
        <w:numPr>
          <w:ilvl w:val="0"/>
          <w:numId w:val="12"/>
        </w:numPr>
        <w:jc w:val="left"/>
        <w:rPr>
          <w:rFonts w:ascii="宋体" w:eastAsia="宋体" w:hAnsi="宋体" w:hint="eastAsia"/>
          <w:sz w:val="28"/>
          <w:szCs w:val="28"/>
        </w:rPr>
      </w:pPr>
      <w:r w:rsidRPr="004B3C58">
        <w:rPr>
          <w:rFonts w:ascii="宋体" w:eastAsia="宋体" w:hAnsi="宋体" w:hint="eastAsia"/>
          <w:sz w:val="28"/>
          <w:szCs w:val="28"/>
        </w:rPr>
        <w:t>上海市浦东新区民乐大型居住</w:t>
      </w:r>
      <w:proofErr w:type="gramStart"/>
      <w:r w:rsidRPr="004B3C58">
        <w:rPr>
          <w:rFonts w:ascii="宋体" w:eastAsia="宋体" w:hAnsi="宋体" w:hint="eastAsia"/>
          <w:sz w:val="28"/>
          <w:szCs w:val="28"/>
        </w:rPr>
        <w:t>社区汇雅苑</w:t>
      </w:r>
      <w:proofErr w:type="gramEnd"/>
      <w:r w:rsidR="007E1543" w:rsidRPr="00154C55">
        <w:rPr>
          <w:rFonts w:ascii="宋体" w:eastAsia="宋体" w:hAnsi="宋体" w:hint="eastAsia"/>
          <w:sz w:val="28"/>
          <w:szCs w:val="28"/>
        </w:rPr>
        <w:t>-</w:t>
      </w:r>
      <w:r w:rsidR="003279D9" w:rsidRPr="00154C55">
        <w:rPr>
          <w:rFonts w:ascii="宋体" w:eastAsia="宋体" w:hAnsi="宋体" w:hint="eastAsia"/>
          <w:sz w:val="28"/>
          <w:szCs w:val="28"/>
        </w:rPr>
        <w:t>各指标测评得分</w:t>
      </w:r>
    </w:p>
    <w:tbl>
      <w:tblPr>
        <w:tblStyle w:val="a6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5103"/>
        <w:gridCol w:w="1275"/>
      </w:tblGrid>
      <w:tr w:rsidR="003279D9" w:rsidRPr="00C42EA2" w:rsidTr="00154C55">
        <w:trPr>
          <w:trHeight w:val="187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7837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项目</w:t>
            </w: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说明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得分</w:t>
            </w:r>
          </w:p>
        </w:tc>
      </w:tr>
      <w:tr w:rsidR="000D1F62" w:rsidRPr="00C42EA2" w:rsidTr="00154C55">
        <w:trPr>
          <w:trHeight w:val="550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建筑品质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容积率</w:t>
            </w:r>
          </w:p>
        </w:tc>
        <w:tc>
          <w:tcPr>
            <w:tcW w:w="5103" w:type="dxa"/>
          </w:tcPr>
          <w:p w:rsidR="000D1F62" w:rsidRPr="00F24E92" w:rsidRDefault="000D1F62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面积毛密度，容积率越小，理论上楼盘内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舒适度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115B7D" w:rsidRPr="00154C55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70.9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=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绿化面积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/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土地面积；理论上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绿化率越高，楼盘内居住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舒适度越高。</w:t>
            </w:r>
          </w:p>
        </w:tc>
        <w:tc>
          <w:tcPr>
            <w:tcW w:w="1275" w:type="dxa"/>
            <w:vAlign w:val="center"/>
          </w:tcPr>
          <w:p w:rsidR="00B866C7" w:rsidRPr="00154C55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B3C58">
              <w:rPr>
                <w:rFonts w:ascii="Tahoma" w:eastAsia="宋体" w:hAnsi="Tahoma" w:cs="Tahoma"/>
                <w:color w:val="333333"/>
                <w:sz w:val="21"/>
                <w:szCs w:val="21"/>
              </w:rPr>
              <w:t>92.5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年代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衡量建筑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折旧情况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建筑年代越早，房龄越老，建筑折旧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严重，房屋居住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体验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越差。</w:t>
            </w:r>
          </w:p>
        </w:tc>
        <w:tc>
          <w:tcPr>
            <w:tcW w:w="1275" w:type="dxa"/>
            <w:vAlign w:val="center"/>
          </w:tcPr>
          <w:p w:rsidR="000D1F62" w:rsidRPr="00154C55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B3C58">
              <w:rPr>
                <w:rFonts w:ascii="Tahoma" w:eastAsia="宋体" w:hAnsi="Tahoma" w:cs="Tahoma"/>
                <w:color w:val="333333"/>
                <w:sz w:val="21"/>
                <w:szCs w:val="21"/>
              </w:rPr>
              <w:t>86.9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采用新技术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反映建筑工业化技术应用水平。若采用新技术则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分，否则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100.0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生活便利度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站点的数据量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理论上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公交站点越多，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的选择和可达性越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B3C58">
              <w:rPr>
                <w:rFonts w:ascii="Tahoma" w:eastAsia="宋体" w:hAnsi="Tahoma" w:cs="Tahoma"/>
                <w:color w:val="333333"/>
                <w:sz w:val="21"/>
                <w:szCs w:val="21"/>
              </w:rPr>
              <w:t>67.5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不含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便利店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内居民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购物便捷性越优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B3C58">
              <w:rPr>
                <w:rFonts w:ascii="Tahoma" w:eastAsia="宋体" w:hAnsi="Tahoma" w:cs="Tahoma"/>
                <w:color w:val="333333"/>
                <w:sz w:val="21"/>
                <w:szCs w:val="21"/>
              </w:rPr>
              <w:t>70.2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医疗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楼盘与城市内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三级甲等医院的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最近距离。理论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上，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距离三级甲等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医院越近，楼盘内居民可享受的医疗资源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越优。</w:t>
            </w:r>
          </w:p>
        </w:tc>
        <w:tc>
          <w:tcPr>
            <w:tcW w:w="1275" w:type="dxa"/>
            <w:vAlign w:val="center"/>
          </w:tcPr>
          <w:p w:rsidR="000D1F62" w:rsidRPr="00154C55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B3C58">
              <w:rPr>
                <w:rFonts w:ascii="Tahoma" w:eastAsia="宋体" w:hAnsi="Tahoma" w:cs="Tahoma"/>
                <w:color w:val="333333"/>
                <w:sz w:val="21"/>
                <w:szCs w:val="21"/>
              </w:rPr>
              <w:t>66.4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，幼儿园、小学的数量。理论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，学校数量越多，楼盘内居民可享有的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B3C58">
              <w:rPr>
                <w:rFonts w:ascii="Tahoma" w:eastAsia="宋体" w:hAnsi="Tahoma" w:cs="Tahoma"/>
                <w:color w:val="333333"/>
                <w:sz w:val="21"/>
                <w:szCs w:val="21"/>
              </w:rPr>
              <w:t>67.7</w:t>
            </w:r>
          </w:p>
        </w:tc>
      </w:tr>
      <w:tr w:rsidR="000D1F62" w:rsidRPr="0033437D" w:rsidTr="00154C55">
        <w:trPr>
          <w:trHeight w:val="8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lastRenderedPageBreak/>
              <w:t>综合（其他）属性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单价同比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反映房产价值上升空间大小，同比上涨说明具有一定上升空间和投资价值，反之则反。</w:t>
            </w:r>
            <w:proofErr w:type="gramStart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同比越</w:t>
            </w:r>
            <w:proofErr w:type="gramEnd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B3C58">
              <w:rPr>
                <w:rFonts w:ascii="Tahoma" w:eastAsia="宋体" w:hAnsi="Tahoma" w:cs="Tahoma"/>
                <w:color w:val="333333"/>
                <w:sz w:val="21"/>
                <w:szCs w:val="21"/>
              </w:rPr>
              <w:t>90.4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租售比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月租金与房价之比，衡量一个区域楼市运行是否良好的指标之一，比值越大，房产投资价值越大，项目越优。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4B3C58">
              <w:rPr>
                <w:rFonts w:ascii="Tahoma" w:eastAsia="宋体" w:hAnsi="Tahoma" w:cs="Tahoma"/>
                <w:color w:val="333333"/>
                <w:sz w:val="21"/>
                <w:szCs w:val="21"/>
              </w:rPr>
              <w:t>90.0</w:t>
            </w:r>
          </w:p>
        </w:tc>
      </w:tr>
      <w:tr w:rsidR="003279D9" w:rsidRPr="0033437D" w:rsidTr="00154C55">
        <w:trPr>
          <w:trHeight w:val="632"/>
        </w:trPr>
        <w:tc>
          <w:tcPr>
            <w:tcW w:w="1843" w:type="dxa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楼盘总评分</w:t>
            </w:r>
          </w:p>
        </w:tc>
        <w:tc>
          <w:tcPr>
            <w:tcW w:w="6663" w:type="dxa"/>
            <w:gridSpan w:val="2"/>
            <w:vAlign w:val="center"/>
          </w:tcPr>
          <w:p w:rsidR="003279D9" w:rsidRPr="00F24E92" w:rsidRDefault="003279D9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信息的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综合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评分</w:t>
            </w:r>
          </w:p>
        </w:tc>
        <w:tc>
          <w:tcPr>
            <w:tcW w:w="1275" w:type="dxa"/>
            <w:vAlign w:val="center"/>
          </w:tcPr>
          <w:p w:rsidR="003E41C7" w:rsidRPr="00392144" w:rsidRDefault="004B3C58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80.1</w:t>
            </w:r>
          </w:p>
        </w:tc>
      </w:tr>
    </w:tbl>
    <w:p w:rsidR="003279D9" w:rsidRPr="00154C55" w:rsidRDefault="007E1543" w:rsidP="00DB7837">
      <w:pPr>
        <w:pStyle w:val="1"/>
        <w:jc w:val="left"/>
        <w:rPr>
          <w:rFonts w:ascii="宋体" w:eastAsia="宋体" w:hAnsi="宋体"/>
          <w:sz w:val="28"/>
          <w:szCs w:val="28"/>
        </w:rPr>
      </w:pPr>
      <w:r w:rsidRPr="00154C55">
        <w:rPr>
          <w:rFonts w:ascii="宋体" w:eastAsia="宋体" w:hAnsi="宋体" w:hint="eastAsia"/>
          <w:sz w:val="28"/>
          <w:szCs w:val="28"/>
        </w:rPr>
        <w:t>二、与所在城市</w:t>
      </w:r>
      <w:r w:rsidR="00011ACA" w:rsidRPr="00154C55">
        <w:rPr>
          <w:rFonts w:ascii="宋体" w:eastAsia="宋体" w:hAnsi="宋体" w:hint="eastAsia"/>
          <w:sz w:val="28"/>
          <w:szCs w:val="28"/>
        </w:rPr>
        <w:t>其他项目中等水平比较</w:t>
      </w:r>
    </w:p>
    <w:p w:rsidR="003279D9" w:rsidRDefault="004B3C58" w:rsidP="00B451FC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4BC7B1F0" wp14:editId="3B005139">
            <wp:extent cx="5274310" cy="3403883"/>
            <wp:effectExtent l="0" t="0" r="21590" b="2540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10E6" w:rsidRDefault="006A10E6" w:rsidP="000C7CD3">
      <w:pPr>
        <w:rPr>
          <w:b/>
        </w:rPr>
      </w:pPr>
    </w:p>
    <w:p w:rsidR="006A10E6" w:rsidRDefault="006A10E6" w:rsidP="000C7CD3">
      <w:pPr>
        <w:rPr>
          <w:b/>
        </w:rPr>
      </w:pPr>
    </w:p>
    <w:p w:rsidR="000C7CD3" w:rsidRPr="004334E2" w:rsidRDefault="000C7CD3" w:rsidP="000C7CD3">
      <w:pPr>
        <w:rPr>
          <w:b/>
          <w:color w:val="7F7F7F" w:themeColor="text1" w:themeTint="80"/>
        </w:rPr>
      </w:pPr>
      <w:r w:rsidRPr="004334E2">
        <w:rPr>
          <w:b/>
          <w:color w:val="7F7F7F" w:themeColor="text1" w:themeTint="80"/>
        </w:rPr>
        <w:t>注：</w:t>
      </w:r>
    </w:p>
    <w:p w:rsidR="00C54700" w:rsidRPr="004334E2" w:rsidRDefault="000C7CD3" w:rsidP="000C7CD3">
      <w:pPr>
        <w:rPr>
          <w:rFonts w:ascii="微软雅黑" w:eastAsia="微软雅黑" w:hAnsi="微软雅黑"/>
          <w:color w:val="7F7F7F" w:themeColor="text1" w:themeTint="80"/>
        </w:rPr>
      </w:pPr>
      <w:r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[1]</w:t>
      </w:r>
      <w:r w:rsidR="00B614C8" w:rsidRPr="004334E2">
        <w:rPr>
          <w:rFonts w:hint="eastAsia"/>
          <w:color w:val="7F7F7F" w:themeColor="text1" w:themeTint="80"/>
        </w:rPr>
        <w:t xml:space="preserve"> </w:t>
      </w:r>
      <w:r w:rsidR="004334E2" w:rsidRPr="004334E2">
        <w:rPr>
          <w:rFonts w:hint="eastAsia"/>
          <w:color w:val="7F7F7F" w:themeColor="text1" w:themeTint="80"/>
          <w:sz w:val="18"/>
          <w:szCs w:val="18"/>
        </w:rPr>
        <w:t>青岛</w:t>
      </w:r>
      <w:proofErr w:type="gramStart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禧</w:t>
      </w:r>
      <w:proofErr w:type="gramEnd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泰</w:t>
      </w:r>
      <w:r w:rsidR="004334E2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房地产数据有限</w:t>
      </w:r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公司是全国房地产市场数据服务商，为国家机关、学术研究机构、企业、媒体和公众提供房地产数据和应用服务。公司成立于2005年，是国内成立最早的房地产大数据公司。</w:t>
      </w:r>
      <w:r w:rsidR="00174C77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2014年与中国房地产业协会合作打造“中国房价行情”平台，实时发布全国、各城市、城市各区域和各楼盘小区的房价和租金实况、预报以及供求信息，为政府、房地产研究、投资开发、金融信贷以及社会公众提供服务。</w:t>
      </w:r>
    </w:p>
    <w:sectPr w:rsidR="00C54700" w:rsidRPr="004334E2" w:rsidSect="00997AB1">
      <w:headerReference w:type="default" r:id="rId10"/>
      <w:footerReference w:type="default" r:id="rId11"/>
      <w:pgSz w:w="11906" w:h="16838"/>
      <w:pgMar w:top="1440" w:right="1800" w:bottom="1440" w:left="1800" w:header="73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4F" w:rsidRDefault="00344A4F" w:rsidP="00C54700">
      <w:pPr>
        <w:ind w:firstLine="560"/>
      </w:pPr>
      <w:r>
        <w:separator/>
      </w:r>
    </w:p>
  </w:endnote>
  <w:endnote w:type="continuationSeparator" w:id="0">
    <w:p w:rsidR="00344A4F" w:rsidRDefault="00344A4F" w:rsidP="00C5470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7526"/>
      <w:docPartObj>
        <w:docPartGallery w:val="Page Numbers (Bottom of Page)"/>
        <w:docPartUnique/>
      </w:docPartObj>
    </w:sdtPr>
    <w:sdtEndPr/>
    <w:sdtContent>
      <w:p w:rsidR="00997AB1" w:rsidRDefault="001175ED" w:rsidP="00F906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C58" w:rsidRPr="004B3C5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4F" w:rsidRDefault="00344A4F" w:rsidP="00C54700">
      <w:pPr>
        <w:ind w:firstLine="560"/>
      </w:pPr>
      <w:r>
        <w:separator/>
      </w:r>
    </w:p>
  </w:footnote>
  <w:footnote w:type="continuationSeparator" w:id="0">
    <w:p w:rsidR="00344A4F" w:rsidRDefault="00344A4F" w:rsidP="00C5470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2" w:rsidRDefault="00174C77" w:rsidP="00174C77">
    <w:pPr>
      <w:pStyle w:val="a3"/>
      <w:jc w:val="right"/>
    </w:pPr>
    <w:r w:rsidRPr="00174C77">
      <w:rPr>
        <w:rFonts w:hint="eastAsia"/>
      </w:rPr>
      <w:t>中国房地产业协会</w:t>
    </w:r>
    <w:r w:rsidRPr="00174C77">
      <w:rPr>
        <w:rFonts w:hint="eastAsia"/>
      </w:rPr>
      <w:t xml:space="preserve"> </w:t>
    </w:r>
    <w:r w:rsidRPr="00174C77">
      <w:rPr>
        <w:rFonts w:hint="eastAsia"/>
      </w:rPr>
      <w:t>住房和城乡建设部住宅产业化促进中心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2D"/>
    <w:multiLevelType w:val="hybridMultilevel"/>
    <w:tmpl w:val="03D2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16427"/>
    <w:multiLevelType w:val="hybridMultilevel"/>
    <w:tmpl w:val="DE04FD2C"/>
    <w:lvl w:ilvl="0" w:tplc="2438C5C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3F12814"/>
    <w:multiLevelType w:val="hybridMultilevel"/>
    <w:tmpl w:val="9628FB12"/>
    <w:lvl w:ilvl="0" w:tplc="1C18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D3286A"/>
    <w:multiLevelType w:val="hybridMultilevel"/>
    <w:tmpl w:val="58564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F9545B"/>
    <w:multiLevelType w:val="hybridMultilevel"/>
    <w:tmpl w:val="C35C5690"/>
    <w:lvl w:ilvl="0" w:tplc="1C18423E">
      <w:start w:val="1"/>
      <w:numFmt w:val="decimalEnclosedCircle"/>
      <w:lvlText w:val="%1"/>
      <w:lvlJc w:val="left"/>
      <w:pPr>
        <w:ind w:left="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5">
    <w:nsid w:val="35105710"/>
    <w:multiLevelType w:val="hybridMultilevel"/>
    <w:tmpl w:val="FD94D084"/>
    <w:lvl w:ilvl="0" w:tplc="7228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CF5991"/>
    <w:multiLevelType w:val="hybridMultilevel"/>
    <w:tmpl w:val="30769C72"/>
    <w:lvl w:ilvl="0" w:tplc="67161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552B1"/>
    <w:multiLevelType w:val="hybridMultilevel"/>
    <w:tmpl w:val="A6849FDE"/>
    <w:lvl w:ilvl="0" w:tplc="E4D66F5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576265"/>
    <w:multiLevelType w:val="hybridMultilevel"/>
    <w:tmpl w:val="BECA06B4"/>
    <w:lvl w:ilvl="0" w:tplc="652CC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2E3FB2"/>
    <w:multiLevelType w:val="hybridMultilevel"/>
    <w:tmpl w:val="A97C8656"/>
    <w:lvl w:ilvl="0" w:tplc="F1A03C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6246F3A"/>
    <w:multiLevelType w:val="hybridMultilevel"/>
    <w:tmpl w:val="BC824910"/>
    <w:lvl w:ilvl="0" w:tplc="04090019">
      <w:start w:val="1"/>
      <w:numFmt w:val="lowerLetter"/>
      <w:lvlText w:val="%1)"/>
      <w:lvlJc w:val="left"/>
      <w:pPr>
        <w:ind w:left="1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>
    <w:nsid w:val="56C6233B"/>
    <w:multiLevelType w:val="hybridMultilevel"/>
    <w:tmpl w:val="D3528966"/>
    <w:lvl w:ilvl="0" w:tplc="597E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0"/>
    <w:rsid w:val="00004441"/>
    <w:rsid w:val="00011ACA"/>
    <w:rsid w:val="000647CB"/>
    <w:rsid w:val="000677E5"/>
    <w:rsid w:val="00072E97"/>
    <w:rsid w:val="00076629"/>
    <w:rsid w:val="000A164B"/>
    <w:rsid w:val="000C2A43"/>
    <w:rsid w:val="000C7CD3"/>
    <w:rsid w:val="000D0385"/>
    <w:rsid w:val="000D1F62"/>
    <w:rsid w:val="000E3B66"/>
    <w:rsid w:val="000E5B7A"/>
    <w:rsid w:val="000F71E2"/>
    <w:rsid w:val="00104775"/>
    <w:rsid w:val="001116A0"/>
    <w:rsid w:val="00115B7D"/>
    <w:rsid w:val="001175ED"/>
    <w:rsid w:val="00124937"/>
    <w:rsid w:val="00141AD3"/>
    <w:rsid w:val="00152448"/>
    <w:rsid w:val="00154C55"/>
    <w:rsid w:val="00156065"/>
    <w:rsid w:val="0017093E"/>
    <w:rsid w:val="0017166B"/>
    <w:rsid w:val="00172D4F"/>
    <w:rsid w:val="00174C77"/>
    <w:rsid w:val="00184580"/>
    <w:rsid w:val="001A710F"/>
    <w:rsid w:val="001D4F2A"/>
    <w:rsid w:val="001E5A98"/>
    <w:rsid w:val="001F75C5"/>
    <w:rsid w:val="00202F47"/>
    <w:rsid w:val="0021005B"/>
    <w:rsid w:val="00222F85"/>
    <w:rsid w:val="00241D35"/>
    <w:rsid w:val="00256BC5"/>
    <w:rsid w:val="0026206B"/>
    <w:rsid w:val="00266501"/>
    <w:rsid w:val="002810B9"/>
    <w:rsid w:val="002A70EE"/>
    <w:rsid w:val="002B7F95"/>
    <w:rsid w:val="00301982"/>
    <w:rsid w:val="00317A94"/>
    <w:rsid w:val="00320869"/>
    <w:rsid w:val="003279D9"/>
    <w:rsid w:val="0033061A"/>
    <w:rsid w:val="0033437D"/>
    <w:rsid w:val="00344966"/>
    <w:rsid w:val="00344A4F"/>
    <w:rsid w:val="003556E8"/>
    <w:rsid w:val="003630C2"/>
    <w:rsid w:val="00366BAF"/>
    <w:rsid w:val="00376E1C"/>
    <w:rsid w:val="0038315A"/>
    <w:rsid w:val="00392144"/>
    <w:rsid w:val="003937DD"/>
    <w:rsid w:val="003A5125"/>
    <w:rsid w:val="003B2571"/>
    <w:rsid w:val="003C4CCA"/>
    <w:rsid w:val="003D4E2F"/>
    <w:rsid w:val="003D7C90"/>
    <w:rsid w:val="003E0C23"/>
    <w:rsid w:val="003E23CA"/>
    <w:rsid w:val="003E41C7"/>
    <w:rsid w:val="00407B65"/>
    <w:rsid w:val="0041687A"/>
    <w:rsid w:val="00426997"/>
    <w:rsid w:val="004334E2"/>
    <w:rsid w:val="0046459A"/>
    <w:rsid w:val="00484717"/>
    <w:rsid w:val="00487063"/>
    <w:rsid w:val="004B3C58"/>
    <w:rsid w:val="004C1ADA"/>
    <w:rsid w:val="004D6F4A"/>
    <w:rsid w:val="004E4EFB"/>
    <w:rsid w:val="00512262"/>
    <w:rsid w:val="00512D34"/>
    <w:rsid w:val="00514F8E"/>
    <w:rsid w:val="005464FA"/>
    <w:rsid w:val="00574B6D"/>
    <w:rsid w:val="00580B0E"/>
    <w:rsid w:val="00585B2A"/>
    <w:rsid w:val="005C1FEB"/>
    <w:rsid w:val="005D402D"/>
    <w:rsid w:val="005D5D41"/>
    <w:rsid w:val="005F3B0B"/>
    <w:rsid w:val="005F69EA"/>
    <w:rsid w:val="005F7AAF"/>
    <w:rsid w:val="00607F83"/>
    <w:rsid w:val="00621982"/>
    <w:rsid w:val="00634DA3"/>
    <w:rsid w:val="006621A1"/>
    <w:rsid w:val="00676871"/>
    <w:rsid w:val="006A10E6"/>
    <w:rsid w:val="006B5113"/>
    <w:rsid w:val="006C3169"/>
    <w:rsid w:val="006C35AD"/>
    <w:rsid w:val="006E1757"/>
    <w:rsid w:val="006F2F86"/>
    <w:rsid w:val="006F5475"/>
    <w:rsid w:val="007007E4"/>
    <w:rsid w:val="00703741"/>
    <w:rsid w:val="00717ECE"/>
    <w:rsid w:val="00723DFB"/>
    <w:rsid w:val="007465E0"/>
    <w:rsid w:val="0076047F"/>
    <w:rsid w:val="007638BD"/>
    <w:rsid w:val="007879D3"/>
    <w:rsid w:val="00790742"/>
    <w:rsid w:val="00790A47"/>
    <w:rsid w:val="00792701"/>
    <w:rsid w:val="00793738"/>
    <w:rsid w:val="00794C9C"/>
    <w:rsid w:val="007B79AF"/>
    <w:rsid w:val="007E1543"/>
    <w:rsid w:val="007E3CA4"/>
    <w:rsid w:val="00804358"/>
    <w:rsid w:val="00837934"/>
    <w:rsid w:val="00842A70"/>
    <w:rsid w:val="008441B0"/>
    <w:rsid w:val="00863CAF"/>
    <w:rsid w:val="00877810"/>
    <w:rsid w:val="008829E2"/>
    <w:rsid w:val="00894931"/>
    <w:rsid w:val="008A3832"/>
    <w:rsid w:val="008B009C"/>
    <w:rsid w:val="00914FA7"/>
    <w:rsid w:val="00920837"/>
    <w:rsid w:val="009265E5"/>
    <w:rsid w:val="00944B81"/>
    <w:rsid w:val="00966A68"/>
    <w:rsid w:val="00966DA6"/>
    <w:rsid w:val="0098448C"/>
    <w:rsid w:val="00995785"/>
    <w:rsid w:val="00997AB1"/>
    <w:rsid w:val="009A1AFF"/>
    <w:rsid w:val="009B3286"/>
    <w:rsid w:val="00A0106E"/>
    <w:rsid w:val="00A10570"/>
    <w:rsid w:val="00A11023"/>
    <w:rsid w:val="00A223C0"/>
    <w:rsid w:val="00A27EC2"/>
    <w:rsid w:val="00A3539C"/>
    <w:rsid w:val="00A47348"/>
    <w:rsid w:val="00A507B3"/>
    <w:rsid w:val="00A60D1E"/>
    <w:rsid w:val="00A760E1"/>
    <w:rsid w:val="00A76882"/>
    <w:rsid w:val="00A95D8E"/>
    <w:rsid w:val="00AB5916"/>
    <w:rsid w:val="00AF5AD3"/>
    <w:rsid w:val="00B451FC"/>
    <w:rsid w:val="00B614C8"/>
    <w:rsid w:val="00B66DF7"/>
    <w:rsid w:val="00B866C7"/>
    <w:rsid w:val="00B86E8C"/>
    <w:rsid w:val="00B9195D"/>
    <w:rsid w:val="00BC25EF"/>
    <w:rsid w:val="00BC48F8"/>
    <w:rsid w:val="00BE48B7"/>
    <w:rsid w:val="00C25449"/>
    <w:rsid w:val="00C31A4F"/>
    <w:rsid w:val="00C42EA2"/>
    <w:rsid w:val="00C5395B"/>
    <w:rsid w:val="00C54700"/>
    <w:rsid w:val="00C56A5B"/>
    <w:rsid w:val="00C83A6C"/>
    <w:rsid w:val="00CA2DAF"/>
    <w:rsid w:val="00CB29E3"/>
    <w:rsid w:val="00CB73D6"/>
    <w:rsid w:val="00CF041B"/>
    <w:rsid w:val="00D06BB2"/>
    <w:rsid w:val="00D1129A"/>
    <w:rsid w:val="00D26165"/>
    <w:rsid w:val="00D633B3"/>
    <w:rsid w:val="00D77244"/>
    <w:rsid w:val="00D80693"/>
    <w:rsid w:val="00D96A54"/>
    <w:rsid w:val="00DB7837"/>
    <w:rsid w:val="00DC2CBC"/>
    <w:rsid w:val="00DC3B5B"/>
    <w:rsid w:val="00DE6E19"/>
    <w:rsid w:val="00E063E5"/>
    <w:rsid w:val="00E065C4"/>
    <w:rsid w:val="00E12123"/>
    <w:rsid w:val="00E13FB3"/>
    <w:rsid w:val="00E31C10"/>
    <w:rsid w:val="00E445DA"/>
    <w:rsid w:val="00E50B69"/>
    <w:rsid w:val="00E7586C"/>
    <w:rsid w:val="00E776FB"/>
    <w:rsid w:val="00E8588F"/>
    <w:rsid w:val="00EA08E4"/>
    <w:rsid w:val="00EA13A6"/>
    <w:rsid w:val="00EA7AAE"/>
    <w:rsid w:val="00EB6719"/>
    <w:rsid w:val="00ED5593"/>
    <w:rsid w:val="00EF27A3"/>
    <w:rsid w:val="00F168F9"/>
    <w:rsid w:val="00F213F9"/>
    <w:rsid w:val="00F24990"/>
    <w:rsid w:val="00F24E92"/>
    <w:rsid w:val="00F279C4"/>
    <w:rsid w:val="00F30161"/>
    <w:rsid w:val="00F30835"/>
    <w:rsid w:val="00F31CF6"/>
    <w:rsid w:val="00F533A9"/>
    <w:rsid w:val="00F54790"/>
    <w:rsid w:val="00F64825"/>
    <w:rsid w:val="00F77B9B"/>
    <w:rsid w:val="00F90112"/>
    <w:rsid w:val="00F90624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altLang="en-US" sz="1600"/>
              <a:t>民乐大型居住社区汇雅苑项目各指标得分情况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6067047575731737"/>
          <c:y val="0.20974115642261135"/>
          <c:w val="0.5246532751913906"/>
          <c:h val="0.69026685281975486"/>
        </c:manualLayout>
      </c:layout>
      <c:radarChart>
        <c:radarStyle val="marker"/>
        <c:varyColors val="0"/>
        <c:ser>
          <c:idx val="0"/>
          <c:order val="0"/>
          <c:tx>
            <c:strRef>
              <c:f>雷达图!$E$1336</c:f>
              <c:strCache>
                <c:ptCount val="1"/>
                <c:pt idx="0">
                  <c:v>上海市浦东新区民乐大型居住社区汇雅苑</c:v>
                </c:pt>
              </c:strCache>
            </c:strRef>
          </c:tx>
          <c:spPr>
            <a:ln w="31750">
              <a:solidFill>
                <a:srgbClr val="FF9618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雷达图!$F$1336:$O$1336</c:f>
              <c:numCache>
                <c:formatCode>0.0_ </c:formatCode>
                <c:ptCount val="10"/>
                <c:pt idx="0">
                  <c:v>70.886753669720505</c:v>
                </c:pt>
                <c:pt idx="1">
                  <c:v>92.466076651482396</c:v>
                </c:pt>
                <c:pt idx="2">
                  <c:v>86.889511839788398</c:v>
                </c:pt>
                <c:pt idx="3">
                  <c:v>100</c:v>
                </c:pt>
                <c:pt idx="4">
                  <c:v>67.521235710433004</c:v>
                </c:pt>
                <c:pt idx="5">
                  <c:v>70.248078219027605</c:v>
                </c:pt>
                <c:pt idx="6">
                  <c:v>66.425291952852206</c:v>
                </c:pt>
                <c:pt idx="7">
                  <c:v>67.733335702183396</c:v>
                </c:pt>
                <c:pt idx="8">
                  <c:v>90.415301315896102</c:v>
                </c:pt>
                <c:pt idx="9">
                  <c:v>89.969397713349593</c:v>
                </c:pt>
              </c:numCache>
            </c:numRef>
          </c:val>
        </c:ser>
        <c:ser>
          <c:idx val="1"/>
          <c:order val="1"/>
          <c:tx>
            <c:strRef>
              <c:f>雷达图!$E$1337</c:f>
              <c:strCache>
                <c:ptCount val="1"/>
                <c:pt idx="0">
                  <c:v>同城中等水平</c:v>
                </c:pt>
              </c:strCache>
            </c:strRef>
          </c:tx>
          <c:spPr>
            <a:ln w="31750">
              <a:solidFill>
                <a:srgbClr val="526573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雷达图!$F$1337:$O$1337</c:f>
              <c:numCache>
                <c:formatCode>0.0_ 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6040320"/>
        <c:axId val="316041856"/>
      </c:radarChart>
      <c:catAx>
        <c:axId val="31604032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zh-CN"/>
          </a:p>
        </c:txPr>
        <c:crossAx val="316041856"/>
        <c:crosses val="autoZero"/>
        <c:auto val="1"/>
        <c:lblAlgn val="ctr"/>
        <c:lblOffset val="100"/>
        <c:noMultiLvlLbl val="0"/>
      </c:catAx>
      <c:valAx>
        <c:axId val="3160418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_ " sourceLinked="0"/>
        <c:majorTickMark val="cross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200"/>
            </a:pPr>
            <a:endParaRPr lang="zh-CN"/>
          </a:p>
        </c:txPr>
        <c:crossAx val="31604032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"/>
          <c:y val="0.76024826654130917"/>
          <c:w val="0.28767598093559604"/>
          <c:h val="0.23784876006388833"/>
        </c:manualLayout>
      </c:layout>
      <c:overlay val="0"/>
      <c:txPr>
        <a:bodyPr/>
        <a:lstStyle/>
        <a:p>
          <a:pPr>
            <a:defRPr sz="1000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504B-1DC8-4FE0-805D-8B0F0E1C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cityre</dc:creator>
  <cp:lastModifiedBy>cityre</cp:lastModifiedBy>
  <cp:revision>80</cp:revision>
  <cp:lastPrinted>2016-11-18T07:24:00Z</cp:lastPrinted>
  <dcterms:created xsi:type="dcterms:W3CDTF">2016-11-24T05:12:00Z</dcterms:created>
  <dcterms:modified xsi:type="dcterms:W3CDTF">2016-11-28T08:10:00Z</dcterms:modified>
</cp:coreProperties>
</file>