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914FA7" w:rsidRPr="00154C55">
        <w:rPr>
          <w:rFonts w:ascii="宋体" w:eastAsia="宋体" w:hAnsi="宋体" w:hint="eastAsia"/>
          <w:szCs w:val="21"/>
        </w:rPr>
        <w:t>从建筑品质、生活便利度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514F8E" w:rsidRPr="00154C55">
        <w:rPr>
          <w:rFonts w:ascii="宋体" w:eastAsia="宋体" w:hAnsi="宋体" w:hint="eastAsia"/>
          <w:szCs w:val="21"/>
        </w:rPr>
        <w:t>10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  <w:bookmarkStart w:id="0" w:name="_GoBack"/>
      <w:bookmarkEnd w:id="0"/>
    </w:p>
    <w:p w:rsidR="00A47348" w:rsidRDefault="00344966" w:rsidP="00344966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r w:rsidRPr="00344966">
        <w:rPr>
          <w:rFonts w:ascii="宋体" w:eastAsia="宋体" w:hAnsi="宋体" w:hint="eastAsia"/>
          <w:sz w:val="28"/>
          <w:szCs w:val="28"/>
        </w:rPr>
        <w:t>华源·</w:t>
      </w:r>
      <w:proofErr w:type="gramStart"/>
      <w:r w:rsidRPr="00344966">
        <w:rPr>
          <w:rFonts w:ascii="宋体" w:eastAsia="宋体" w:hAnsi="宋体" w:hint="eastAsia"/>
          <w:sz w:val="28"/>
          <w:szCs w:val="28"/>
        </w:rPr>
        <w:t>阜华景源</w:t>
      </w:r>
      <w:proofErr w:type="gramEnd"/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103"/>
        <w:gridCol w:w="1275"/>
      </w:tblGrid>
      <w:tr w:rsidR="003279D9" w:rsidRPr="00C42EA2" w:rsidTr="00154C55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154C55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103" w:type="dxa"/>
          </w:tcPr>
          <w:p w:rsidR="000D1F62" w:rsidRPr="00F24E92" w:rsidRDefault="000D1F62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面积毛密度，容积率越小，理论上楼盘内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4D6F4A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65.1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绿化率越高，楼盘内居住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舒适度越高。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98.8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严重，房屋居住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99.1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生活便利度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77.5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内居民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79.0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医院越近，楼盘内居民可享受的医疗资源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79.5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，幼儿园、小学的数量。理论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，学校数量越多，楼盘内居民可享有的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71.0</w:t>
            </w:r>
          </w:p>
        </w:tc>
      </w:tr>
      <w:tr w:rsidR="000D1F62" w:rsidRPr="00C42EA2" w:rsidTr="00154C55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lastRenderedPageBreak/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95.3</w:t>
            </w:r>
          </w:p>
        </w:tc>
      </w:tr>
      <w:tr w:rsidR="000D1F62" w:rsidRPr="00C42EA2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344966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99.6</w:t>
            </w:r>
          </w:p>
        </w:tc>
      </w:tr>
      <w:tr w:rsidR="003279D9" w:rsidRPr="00C42EA2" w:rsidTr="00154C55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663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1275" w:type="dxa"/>
            <w:vAlign w:val="center"/>
          </w:tcPr>
          <w:p w:rsidR="00392144" w:rsidRPr="00392144" w:rsidRDefault="00344966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94.2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3279D9" w:rsidRDefault="00344966" w:rsidP="00B451F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3F208EA" wp14:editId="48D55563">
            <wp:extent cx="5133975" cy="3679040"/>
            <wp:effectExtent l="0" t="0" r="9525" b="171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10E6" w:rsidRDefault="006A10E6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9"/>
      <w:footerReference w:type="default" r:id="rId10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C" w:rsidRDefault="008B009C" w:rsidP="00C54700">
      <w:pPr>
        <w:ind w:firstLine="560"/>
      </w:pPr>
      <w:r>
        <w:separator/>
      </w:r>
    </w:p>
  </w:endnote>
  <w:endnote w:type="continuationSeparator" w:id="0">
    <w:p w:rsidR="008B009C" w:rsidRDefault="008B009C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66" w:rsidRPr="003449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C" w:rsidRDefault="008B009C" w:rsidP="00C54700">
      <w:pPr>
        <w:ind w:firstLine="560"/>
      </w:pPr>
      <w:r>
        <w:separator/>
      </w:r>
    </w:p>
  </w:footnote>
  <w:footnote w:type="continuationSeparator" w:id="0">
    <w:p w:rsidR="008B009C" w:rsidRDefault="008B009C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5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552B1"/>
    <w:multiLevelType w:val="hybridMultilevel"/>
    <w:tmpl w:val="A6849FDE"/>
    <w:lvl w:ilvl="0" w:tplc="E4D66F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647CB"/>
    <w:rsid w:val="00072E97"/>
    <w:rsid w:val="00076629"/>
    <w:rsid w:val="000A164B"/>
    <w:rsid w:val="000C7CD3"/>
    <w:rsid w:val="000D0385"/>
    <w:rsid w:val="000D1F62"/>
    <w:rsid w:val="000F71E2"/>
    <w:rsid w:val="00104775"/>
    <w:rsid w:val="001116A0"/>
    <w:rsid w:val="001175ED"/>
    <w:rsid w:val="00154C55"/>
    <w:rsid w:val="0017166B"/>
    <w:rsid w:val="00174C77"/>
    <w:rsid w:val="00184580"/>
    <w:rsid w:val="001A710F"/>
    <w:rsid w:val="001D4F2A"/>
    <w:rsid w:val="001E5A98"/>
    <w:rsid w:val="001F75C5"/>
    <w:rsid w:val="0021005B"/>
    <w:rsid w:val="00222F85"/>
    <w:rsid w:val="00256BC5"/>
    <w:rsid w:val="00266501"/>
    <w:rsid w:val="002B7F95"/>
    <w:rsid w:val="00301982"/>
    <w:rsid w:val="00317A94"/>
    <w:rsid w:val="00320869"/>
    <w:rsid w:val="003279D9"/>
    <w:rsid w:val="0033061A"/>
    <w:rsid w:val="00344966"/>
    <w:rsid w:val="003556E8"/>
    <w:rsid w:val="003630C2"/>
    <w:rsid w:val="00366BAF"/>
    <w:rsid w:val="00376E1C"/>
    <w:rsid w:val="00392144"/>
    <w:rsid w:val="003937DD"/>
    <w:rsid w:val="003C4CCA"/>
    <w:rsid w:val="003D4E2F"/>
    <w:rsid w:val="003D7C90"/>
    <w:rsid w:val="00407B65"/>
    <w:rsid w:val="00426997"/>
    <w:rsid w:val="004334E2"/>
    <w:rsid w:val="0046459A"/>
    <w:rsid w:val="00487063"/>
    <w:rsid w:val="004C1ADA"/>
    <w:rsid w:val="004D6F4A"/>
    <w:rsid w:val="004E4EFB"/>
    <w:rsid w:val="00512D34"/>
    <w:rsid w:val="00514F8E"/>
    <w:rsid w:val="005464FA"/>
    <w:rsid w:val="00574B6D"/>
    <w:rsid w:val="00585B2A"/>
    <w:rsid w:val="005C1FEB"/>
    <w:rsid w:val="005D402D"/>
    <w:rsid w:val="005D5D41"/>
    <w:rsid w:val="005F3B0B"/>
    <w:rsid w:val="005F69EA"/>
    <w:rsid w:val="00634DA3"/>
    <w:rsid w:val="00676871"/>
    <w:rsid w:val="006A10E6"/>
    <w:rsid w:val="006E1757"/>
    <w:rsid w:val="006F5475"/>
    <w:rsid w:val="007007E4"/>
    <w:rsid w:val="00703741"/>
    <w:rsid w:val="00717ECE"/>
    <w:rsid w:val="007465E0"/>
    <w:rsid w:val="0076047F"/>
    <w:rsid w:val="007638BD"/>
    <w:rsid w:val="00790742"/>
    <w:rsid w:val="00790A47"/>
    <w:rsid w:val="00793738"/>
    <w:rsid w:val="007B79AF"/>
    <w:rsid w:val="007E1543"/>
    <w:rsid w:val="00804358"/>
    <w:rsid w:val="00842A70"/>
    <w:rsid w:val="00863CAF"/>
    <w:rsid w:val="00877810"/>
    <w:rsid w:val="00894931"/>
    <w:rsid w:val="008A3832"/>
    <w:rsid w:val="008B009C"/>
    <w:rsid w:val="00914FA7"/>
    <w:rsid w:val="00920837"/>
    <w:rsid w:val="009265E5"/>
    <w:rsid w:val="00966A68"/>
    <w:rsid w:val="00966DA6"/>
    <w:rsid w:val="0098448C"/>
    <w:rsid w:val="00995785"/>
    <w:rsid w:val="00997AB1"/>
    <w:rsid w:val="009A1AFF"/>
    <w:rsid w:val="009B3286"/>
    <w:rsid w:val="00A0106E"/>
    <w:rsid w:val="00A10570"/>
    <w:rsid w:val="00A27EC2"/>
    <w:rsid w:val="00A3539C"/>
    <w:rsid w:val="00A47348"/>
    <w:rsid w:val="00A507B3"/>
    <w:rsid w:val="00A60D1E"/>
    <w:rsid w:val="00A76882"/>
    <w:rsid w:val="00B451FC"/>
    <w:rsid w:val="00B614C8"/>
    <w:rsid w:val="00B66DF7"/>
    <w:rsid w:val="00B86E8C"/>
    <w:rsid w:val="00BC25EF"/>
    <w:rsid w:val="00BC48F8"/>
    <w:rsid w:val="00BE48B7"/>
    <w:rsid w:val="00C25449"/>
    <w:rsid w:val="00C31A4F"/>
    <w:rsid w:val="00C42EA2"/>
    <w:rsid w:val="00C5395B"/>
    <w:rsid w:val="00C54700"/>
    <w:rsid w:val="00C56A5B"/>
    <w:rsid w:val="00CA2DAF"/>
    <w:rsid w:val="00CB29E3"/>
    <w:rsid w:val="00CB73D6"/>
    <w:rsid w:val="00CF041B"/>
    <w:rsid w:val="00D1129A"/>
    <w:rsid w:val="00D26165"/>
    <w:rsid w:val="00D633B3"/>
    <w:rsid w:val="00D96A54"/>
    <w:rsid w:val="00DB7837"/>
    <w:rsid w:val="00DC2CBC"/>
    <w:rsid w:val="00DE6E19"/>
    <w:rsid w:val="00E063E5"/>
    <w:rsid w:val="00E12123"/>
    <w:rsid w:val="00E13FB3"/>
    <w:rsid w:val="00E31C10"/>
    <w:rsid w:val="00E445DA"/>
    <w:rsid w:val="00E50B69"/>
    <w:rsid w:val="00E776FB"/>
    <w:rsid w:val="00E8588F"/>
    <w:rsid w:val="00EA08E4"/>
    <w:rsid w:val="00EB6719"/>
    <w:rsid w:val="00ED5593"/>
    <w:rsid w:val="00EF27A3"/>
    <w:rsid w:val="00F213F9"/>
    <w:rsid w:val="00F24E92"/>
    <w:rsid w:val="00F30161"/>
    <w:rsid w:val="00F31CF6"/>
    <w:rsid w:val="00F533A9"/>
    <w:rsid w:val="00F54790"/>
    <w:rsid w:val="00F64825"/>
    <w:rsid w:val="00F77B9B"/>
    <w:rsid w:val="00F90112"/>
    <w:rsid w:val="00F90624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华源</a:t>
            </a:r>
            <a:r>
              <a:rPr lang="en-US" altLang="zh-CN"/>
              <a:t>·</a:t>
            </a:r>
            <a:r>
              <a:rPr lang="zh-CN" altLang="en-US"/>
              <a:t>阜华景源项目各指标得分情况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98753552391257"/>
          <c:y val="0.20993701395510686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雷达图!$E$173</c:f>
              <c:strCache>
                <c:ptCount val="1"/>
                <c:pt idx="0">
                  <c:v>华源·阜华景源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雷达图!$F$173:$O$173</c:f>
              <c:numCache>
                <c:formatCode>0.0_ </c:formatCode>
                <c:ptCount val="10"/>
                <c:pt idx="0">
                  <c:v>65.115253669720502</c:v>
                </c:pt>
                <c:pt idx="1">
                  <c:v>98.752076651482398</c:v>
                </c:pt>
                <c:pt idx="2">
                  <c:v>99.111511839788406</c:v>
                </c:pt>
                <c:pt idx="3">
                  <c:v>100</c:v>
                </c:pt>
                <c:pt idx="4">
                  <c:v>77.527735710433006</c:v>
                </c:pt>
                <c:pt idx="5">
                  <c:v>79.008578219027598</c:v>
                </c:pt>
                <c:pt idx="6">
                  <c:v>79.522403063963296</c:v>
                </c:pt>
                <c:pt idx="7">
                  <c:v>71.030335702183393</c:v>
                </c:pt>
                <c:pt idx="8">
                  <c:v>95.322301315896098</c:v>
                </c:pt>
                <c:pt idx="9">
                  <c:v>99.569897713349604</c:v>
                </c:pt>
              </c:numCache>
            </c:numRef>
          </c:val>
        </c:ser>
        <c:ser>
          <c:idx val="1"/>
          <c:order val="1"/>
          <c:tx>
            <c:strRef>
              <c:f>雷达图!$E$174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雷达图!$F$174:$O$174</c:f>
              <c:numCache>
                <c:formatCode>0.0_ 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979904"/>
        <c:axId val="321981440"/>
      </c:radarChart>
      <c:catAx>
        <c:axId val="3219799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21981440"/>
        <c:crosses val="autoZero"/>
        <c:auto val="1"/>
        <c:lblAlgn val="ctr"/>
        <c:lblOffset val="100"/>
        <c:noMultiLvlLbl val="0"/>
      </c:catAx>
      <c:valAx>
        <c:axId val="3219814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2197990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1.3475463581492746E-2"/>
          <c:y val="0.17415467014919259"/>
          <c:w val="0.22921344258808463"/>
          <c:h val="0.12848169125414638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14</cp:revision>
  <cp:lastPrinted>2016-11-18T07:24:00Z</cp:lastPrinted>
  <dcterms:created xsi:type="dcterms:W3CDTF">2016-11-24T05:12:00Z</dcterms:created>
  <dcterms:modified xsi:type="dcterms:W3CDTF">2016-11-28T03:10:00Z</dcterms:modified>
</cp:coreProperties>
</file>