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90" w:rsidRPr="00051F60" w:rsidRDefault="00AA1B1A" w:rsidP="00051F60">
      <w:pPr>
        <w:pStyle w:val="1"/>
        <w:spacing w:before="100" w:beforeAutospacing="1" w:after="100" w:afterAutospacing="1" w:line="360" w:lineRule="auto"/>
        <w:jc w:val="center"/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供应量创史上新低，市场吸纳力强</w:t>
      </w:r>
      <w:r w:rsidR="00EB4424">
        <w:rPr>
          <w:rFonts w:hint="eastAsia"/>
          <w:color w:val="C00000"/>
          <w:sz w:val="28"/>
          <w:szCs w:val="28"/>
        </w:rPr>
        <w:t>却无</w:t>
      </w:r>
      <w:r w:rsidR="00726B52">
        <w:rPr>
          <w:rFonts w:hint="eastAsia"/>
          <w:color w:val="C00000"/>
          <w:sz w:val="28"/>
          <w:szCs w:val="28"/>
        </w:rPr>
        <w:t>奈</w:t>
      </w:r>
      <w:r w:rsidR="00EB4424">
        <w:rPr>
          <w:rFonts w:hint="eastAsia"/>
          <w:color w:val="C00000"/>
          <w:sz w:val="28"/>
          <w:szCs w:val="28"/>
        </w:rPr>
        <w:t>供应受限</w:t>
      </w:r>
    </w:p>
    <w:p w:rsidR="004331DF" w:rsidRPr="004331DF" w:rsidRDefault="00945FDE" w:rsidP="004331DF">
      <w:pPr>
        <w:pStyle w:val="ac"/>
        <w:spacing w:before="120" w:after="100" w:afterAutospacing="1"/>
        <w:jc w:val="right"/>
        <w:rPr>
          <w:sz w:val="21"/>
          <w:szCs w:val="21"/>
        </w:rPr>
      </w:pPr>
      <w:r w:rsidRPr="00051F60">
        <w:rPr>
          <w:rFonts w:hint="eastAsia"/>
          <w:sz w:val="21"/>
          <w:szCs w:val="21"/>
        </w:rPr>
        <w:t>——</w:t>
      </w:r>
      <w:r w:rsidR="004D3C00">
        <w:rPr>
          <w:rFonts w:hint="eastAsia"/>
          <w:sz w:val="21"/>
          <w:szCs w:val="21"/>
        </w:rPr>
        <w:t>2017</w:t>
      </w:r>
      <w:r w:rsidR="00BE025D" w:rsidRPr="00051F60">
        <w:rPr>
          <w:rFonts w:hint="eastAsia"/>
          <w:sz w:val="21"/>
          <w:szCs w:val="21"/>
        </w:rPr>
        <w:t>年</w:t>
      </w:r>
      <w:r w:rsidR="00045CBD">
        <w:rPr>
          <w:rFonts w:hint="eastAsia"/>
          <w:sz w:val="21"/>
          <w:szCs w:val="21"/>
        </w:rPr>
        <w:t>2</w:t>
      </w:r>
      <w:r w:rsidR="004D3C00">
        <w:rPr>
          <w:rFonts w:hint="eastAsia"/>
          <w:sz w:val="21"/>
          <w:szCs w:val="21"/>
        </w:rPr>
        <w:t>月</w:t>
      </w:r>
      <w:r w:rsidRPr="00051F60">
        <w:rPr>
          <w:rFonts w:hint="eastAsia"/>
          <w:sz w:val="21"/>
          <w:szCs w:val="21"/>
        </w:rPr>
        <w:t>广州一手住宅市场</w:t>
      </w:r>
      <w:r w:rsidR="00352268" w:rsidRPr="00051F60">
        <w:rPr>
          <w:rFonts w:hint="eastAsia"/>
          <w:sz w:val="21"/>
          <w:szCs w:val="21"/>
        </w:rPr>
        <w:t>总结</w:t>
      </w:r>
    </w:p>
    <w:p w:rsidR="00037FCB" w:rsidRPr="00051F60" w:rsidRDefault="008370DE" w:rsidP="00051F60">
      <w:pPr>
        <w:pStyle w:val="2"/>
        <w:spacing w:beforeLines="50" w:before="156" w:after="0" w:line="300" w:lineRule="auto"/>
        <w:rPr>
          <w:rFonts w:ascii="宋体" w:eastAsia="宋体" w:hAnsi="宋体"/>
          <w:color w:val="C00000"/>
          <w:sz w:val="22"/>
          <w:szCs w:val="22"/>
        </w:rPr>
      </w:pPr>
      <w:r>
        <w:rPr>
          <w:rFonts w:ascii="宋体" w:eastAsia="宋体" w:hAnsi="宋体" w:hint="eastAsia"/>
          <w:color w:val="C00000"/>
          <w:sz w:val="22"/>
          <w:szCs w:val="22"/>
        </w:rPr>
        <w:t>【成交量价】</w:t>
      </w:r>
      <w:r w:rsidR="00045CBD">
        <w:rPr>
          <w:rFonts w:ascii="宋体" w:eastAsia="宋体" w:hAnsi="宋体" w:hint="eastAsia"/>
          <w:color w:val="C00000"/>
          <w:sz w:val="22"/>
          <w:szCs w:val="22"/>
        </w:rPr>
        <w:t>成交量腰斩但仍较去年多</w:t>
      </w:r>
      <w:r w:rsidR="00BE7795">
        <w:rPr>
          <w:rFonts w:ascii="宋体" w:eastAsia="宋体" w:hAnsi="宋体" w:hint="eastAsia"/>
          <w:color w:val="C00000"/>
          <w:sz w:val="22"/>
          <w:szCs w:val="22"/>
        </w:rPr>
        <w:t>，</w:t>
      </w:r>
      <w:r w:rsidR="003B5652" w:rsidRPr="003B5652">
        <w:rPr>
          <w:rFonts w:ascii="宋体" w:eastAsia="宋体" w:hAnsi="宋体" w:hint="eastAsia"/>
          <w:color w:val="C00000"/>
          <w:sz w:val="22"/>
          <w:szCs w:val="22"/>
        </w:rPr>
        <w:t>市场回暖动力及基础都优于往年</w:t>
      </w:r>
    </w:p>
    <w:p w:rsidR="00914FEB" w:rsidRDefault="00045CBD" w:rsidP="00914FEB">
      <w:pPr>
        <w:spacing w:beforeLines="50" w:before="156" w:line="30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1月末进入春节假期，</w:t>
      </w:r>
      <w:r w:rsidR="009473D5">
        <w:rPr>
          <w:rFonts w:ascii="宋体" w:hAnsi="宋体" w:hint="eastAsia"/>
        </w:rPr>
        <w:t>年味至2月中方才逐渐减退</w:t>
      </w:r>
      <w:r>
        <w:rPr>
          <w:rFonts w:ascii="宋体" w:hAnsi="宋体" w:hint="eastAsia"/>
        </w:rPr>
        <w:t>。</w:t>
      </w:r>
      <w:r w:rsidR="00726B52">
        <w:rPr>
          <w:rFonts w:ascii="宋体" w:hAnsi="宋体" w:hint="eastAsia"/>
        </w:rPr>
        <w:t>2月</w:t>
      </w:r>
      <w:r>
        <w:rPr>
          <w:rFonts w:ascii="宋体" w:hAnsi="宋体" w:hint="eastAsia"/>
        </w:rPr>
        <w:t>整体网签较1月腰斩至58.90万㎡，环比大幅减少42.4%，不过同比却仍然多出18%</w:t>
      </w:r>
      <w:r w:rsidR="009473D5">
        <w:rPr>
          <w:rFonts w:ascii="宋体" w:hAnsi="宋体" w:hint="eastAsia"/>
        </w:rPr>
        <w:t>。购房需求明显较去年增多，因而市场回暖动力及基础都优于往年。</w:t>
      </w:r>
    </w:p>
    <w:p w:rsidR="009473D5" w:rsidRDefault="009473D5" w:rsidP="00914FEB">
      <w:pPr>
        <w:spacing w:beforeLines="50" w:before="156" w:line="30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2月全市网签价格16170元/㎡，相较1月基本没有变动，同比则因去年2月返乡潮所致的外围区网签占比下降而产生的结构性高价而下降5%。随着元宵到来，春节假期也进入尾声，2月第三周起逐步有楼盘推新，销情理想，不过后市的回暖程度需要看市场补给情况。</w:t>
      </w:r>
    </w:p>
    <w:p w:rsidR="00AA7402" w:rsidRPr="00AA7402" w:rsidRDefault="00AA7402" w:rsidP="00AA7402">
      <w:pPr>
        <w:pStyle w:val="a5"/>
        <w:keepNext/>
        <w:spacing w:beforeLines="50" w:before="156"/>
        <w:jc w:val="center"/>
        <w:rPr>
          <w:rFonts w:ascii="宋体" w:eastAsia="宋体" w:hAnsi="宋体"/>
          <w:b/>
          <w:color w:val="C00000"/>
          <w:sz w:val="18"/>
          <w:szCs w:val="18"/>
        </w:rPr>
      </w:pPr>
      <w:r w:rsidRPr="00AA7402">
        <w:rPr>
          <w:rFonts w:ascii="宋体" w:eastAsia="宋体" w:hAnsi="宋体" w:hint="eastAsia"/>
          <w:b/>
          <w:color w:val="C00000"/>
          <w:sz w:val="18"/>
          <w:szCs w:val="18"/>
        </w:rPr>
        <w:t xml:space="preserve">图表 </w:t>
      </w:r>
      <w:r w:rsidRPr="00AA7402">
        <w:rPr>
          <w:rFonts w:ascii="宋体" w:eastAsia="宋体" w:hAnsi="宋体"/>
          <w:b/>
          <w:color w:val="C00000"/>
          <w:sz w:val="18"/>
          <w:szCs w:val="18"/>
        </w:rPr>
        <w:fldChar w:fldCharType="begin"/>
      </w:r>
      <w:r w:rsidRPr="00AA7402">
        <w:rPr>
          <w:rFonts w:ascii="宋体" w:eastAsia="宋体" w:hAnsi="宋体"/>
          <w:b/>
          <w:color w:val="C00000"/>
          <w:sz w:val="18"/>
          <w:szCs w:val="18"/>
        </w:rPr>
        <w:instrText xml:space="preserve"> </w:instrText>
      </w:r>
      <w:r w:rsidRPr="00AA7402">
        <w:rPr>
          <w:rFonts w:ascii="宋体" w:eastAsia="宋体" w:hAnsi="宋体" w:hint="eastAsia"/>
          <w:b/>
          <w:color w:val="C00000"/>
          <w:sz w:val="18"/>
          <w:szCs w:val="18"/>
        </w:rPr>
        <w:instrText>SEQ 图表 \* ARABIC</w:instrText>
      </w:r>
      <w:r w:rsidRPr="00AA7402">
        <w:rPr>
          <w:rFonts w:ascii="宋体" w:eastAsia="宋体" w:hAnsi="宋体"/>
          <w:b/>
          <w:color w:val="C00000"/>
          <w:sz w:val="18"/>
          <w:szCs w:val="18"/>
        </w:rPr>
        <w:instrText xml:space="preserve"> </w:instrText>
      </w:r>
      <w:r w:rsidRPr="00AA7402">
        <w:rPr>
          <w:rFonts w:ascii="宋体" w:eastAsia="宋体" w:hAnsi="宋体"/>
          <w:b/>
          <w:color w:val="C00000"/>
          <w:sz w:val="18"/>
          <w:szCs w:val="18"/>
        </w:rPr>
        <w:fldChar w:fldCharType="separate"/>
      </w:r>
      <w:r w:rsidR="00C343A3">
        <w:rPr>
          <w:rFonts w:ascii="宋体" w:eastAsia="宋体" w:hAnsi="宋体"/>
          <w:b/>
          <w:noProof/>
          <w:color w:val="C00000"/>
          <w:sz w:val="18"/>
          <w:szCs w:val="18"/>
        </w:rPr>
        <w:t>1</w:t>
      </w:r>
      <w:r w:rsidRPr="00AA7402">
        <w:rPr>
          <w:rFonts w:ascii="宋体" w:eastAsia="宋体" w:hAnsi="宋体"/>
          <w:b/>
          <w:color w:val="C00000"/>
          <w:sz w:val="18"/>
          <w:szCs w:val="18"/>
        </w:rPr>
        <w:fldChar w:fldCharType="end"/>
      </w:r>
      <w:r w:rsidRPr="00AA7402">
        <w:rPr>
          <w:rFonts w:ascii="宋体" w:eastAsia="宋体" w:hAnsi="宋体" w:hint="eastAsia"/>
          <w:b/>
          <w:color w:val="C00000"/>
          <w:sz w:val="18"/>
          <w:szCs w:val="18"/>
        </w:rPr>
        <w:t xml:space="preserve">  广州一手住宅供求量价环同比</w:t>
      </w:r>
    </w:p>
    <w:tbl>
      <w:tblPr>
        <w:tblW w:w="5743" w:type="dxa"/>
        <w:jc w:val="center"/>
        <w:tblInd w:w="93" w:type="dxa"/>
        <w:tblLook w:val="04A0" w:firstRow="1" w:lastRow="0" w:firstColumn="1" w:lastColumn="0" w:noHBand="0" w:noVBand="1"/>
      </w:tblPr>
      <w:tblGrid>
        <w:gridCol w:w="1723"/>
        <w:gridCol w:w="1800"/>
        <w:gridCol w:w="1160"/>
        <w:gridCol w:w="1060"/>
      </w:tblGrid>
      <w:tr w:rsidR="00BE7795" w:rsidRPr="00BE7795" w:rsidTr="00BE7795">
        <w:trPr>
          <w:trHeight w:val="270"/>
          <w:jc w:val="center"/>
        </w:trPr>
        <w:tc>
          <w:tcPr>
            <w:tcW w:w="1723" w:type="dxa"/>
            <w:vMerge w:val="restar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BE7795" w:rsidRPr="00BE7795" w:rsidRDefault="00BE7795" w:rsidP="00BE779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77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95" w:rsidRPr="00BE7795" w:rsidRDefault="00BE7795" w:rsidP="00BE7795">
            <w:pPr>
              <w:widowControl/>
              <w:jc w:val="center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E7795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2016</w:t>
            </w:r>
            <w:r w:rsidRPr="00BE7795">
              <w:rPr>
                <w:rFonts w:ascii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2220" w:type="dxa"/>
            <w:gridSpan w:val="2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95" w:rsidRPr="00BE7795" w:rsidRDefault="00BE7795" w:rsidP="00BE7795">
            <w:pPr>
              <w:widowControl/>
              <w:jc w:val="center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E7795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2017</w:t>
            </w:r>
            <w:r w:rsidRPr="00BE7795">
              <w:rPr>
                <w:rFonts w:ascii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BE7795" w:rsidRPr="00BE7795" w:rsidTr="00BE7795">
        <w:trPr>
          <w:trHeight w:val="285"/>
          <w:jc w:val="center"/>
        </w:trPr>
        <w:tc>
          <w:tcPr>
            <w:tcW w:w="1723" w:type="dxa"/>
            <w:vMerge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BE7795" w:rsidRPr="00BE7795" w:rsidRDefault="00BE7795" w:rsidP="00BE7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BE7795" w:rsidRPr="00BE7795" w:rsidRDefault="00BE7795" w:rsidP="00BE7795">
            <w:pPr>
              <w:widowControl/>
              <w:jc w:val="center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E7795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Pr="00BE7795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BE7795" w:rsidRPr="00BE7795" w:rsidRDefault="00BE7795" w:rsidP="00BE7795">
            <w:pPr>
              <w:widowControl/>
              <w:jc w:val="center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E7795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BE7795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BE7795" w:rsidRPr="00BE7795" w:rsidRDefault="00BE7795" w:rsidP="00BE7795">
            <w:pPr>
              <w:widowControl/>
              <w:jc w:val="center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E7795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Pr="00BE7795">
              <w:rPr>
                <w:rFonts w:ascii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</w:p>
        </w:tc>
      </w:tr>
      <w:tr w:rsidR="00BE7795" w:rsidRPr="00BE7795" w:rsidTr="00BE7795">
        <w:trPr>
          <w:trHeight w:val="270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BE7795" w:rsidRPr="00BE7795" w:rsidRDefault="00BE7795" w:rsidP="00BE779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779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新批面积（万㎡）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BE7795" w:rsidRPr="00BE7795" w:rsidRDefault="00BE7795" w:rsidP="00BE7795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E7795">
              <w:rPr>
                <w:rFonts w:cs="Calibri"/>
                <w:color w:val="000000"/>
                <w:kern w:val="0"/>
                <w:sz w:val="20"/>
                <w:szCs w:val="20"/>
              </w:rPr>
              <w:t>33.40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BE7795" w:rsidRPr="00BE7795" w:rsidRDefault="00BE7795" w:rsidP="00BE7795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E7795">
              <w:rPr>
                <w:rFonts w:cs="Calibri"/>
                <w:color w:val="000000"/>
                <w:kern w:val="0"/>
                <w:sz w:val="20"/>
                <w:szCs w:val="20"/>
              </w:rPr>
              <w:t>53.72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BE7795" w:rsidRPr="00BE7795" w:rsidRDefault="00BE7795" w:rsidP="00BE7795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E7795">
              <w:rPr>
                <w:rFonts w:cs="Calibri"/>
                <w:color w:val="000000"/>
                <w:kern w:val="0"/>
                <w:sz w:val="20"/>
                <w:szCs w:val="20"/>
              </w:rPr>
              <w:t>5.36</w:t>
            </w:r>
          </w:p>
        </w:tc>
      </w:tr>
      <w:tr w:rsidR="00BE7795" w:rsidRPr="00BE7795" w:rsidTr="00BE7795">
        <w:trPr>
          <w:trHeight w:val="270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95" w:rsidRPr="00BE7795" w:rsidRDefault="00BE7795" w:rsidP="00BE779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779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网签面积（万㎡）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95" w:rsidRPr="00BE7795" w:rsidRDefault="00BE7795" w:rsidP="00BE7795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E7795">
              <w:rPr>
                <w:rFonts w:cs="Calibri"/>
                <w:color w:val="000000"/>
                <w:kern w:val="0"/>
                <w:sz w:val="20"/>
                <w:szCs w:val="20"/>
              </w:rPr>
              <w:t>50.01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95" w:rsidRPr="00BE7795" w:rsidRDefault="00BE7795" w:rsidP="00BE7795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E7795">
              <w:rPr>
                <w:rFonts w:cs="Calibri"/>
                <w:color w:val="000000"/>
                <w:kern w:val="0"/>
                <w:sz w:val="20"/>
                <w:szCs w:val="20"/>
              </w:rPr>
              <w:t>102.25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95" w:rsidRPr="00BE7795" w:rsidRDefault="00BE7795" w:rsidP="00BE7795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E7795">
              <w:rPr>
                <w:rFonts w:cs="Calibri"/>
                <w:color w:val="000000"/>
                <w:kern w:val="0"/>
                <w:sz w:val="20"/>
                <w:szCs w:val="20"/>
              </w:rPr>
              <w:t>58.90</w:t>
            </w:r>
          </w:p>
        </w:tc>
      </w:tr>
      <w:tr w:rsidR="00BE7795" w:rsidRPr="00BE7795" w:rsidTr="00BE7795">
        <w:trPr>
          <w:trHeight w:val="285"/>
          <w:jc w:val="center"/>
        </w:trPr>
        <w:tc>
          <w:tcPr>
            <w:tcW w:w="1723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000000" w:fill="EFD3D2"/>
            <w:noWrap/>
            <w:vAlign w:val="center"/>
            <w:hideMark/>
          </w:tcPr>
          <w:p w:rsidR="00BE7795" w:rsidRPr="00BE7795" w:rsidRDefault="00BE7795" w:rsidP="00BE779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779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网签价格（元</w:t>
            </w:r>
            <w:r w:rsidRPr="00BE7795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BE779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㎡）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000000" w:fill="EFD3D2"/>
            <w:noWrap/>
            <w:vAlign w:val="center"/>
            <w:hideMark/>
          </w:tcPr>
          <w:p w:rsidR="00BE7795" w:rsidRPr="00BE7795" w:rsidRDefault="00BE7795" w:rsidP="00BE7795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E7795">
              <w:rPr>
                <w:rFonts w:cs="Calibri"/>
                <w:color w:val="000000"/>
                <w:kern w:val="0"/>
                <w:sz w:val="20"/>
                <w:szCs w:val="20"/>
              </w:rPr>
              <w:t>17009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000000" w:fill="EFD3D2"/>
            <w:noWrap/>
            <w:vAlign w:val="center"/>
            <w:hideMark/>
          </w:tcPr>
          <w:p w:rsidR="00BE7795" w:rsidRPr="00BE7795" w:rsidRDefault="00BE7795" w:rsidP="00BE7795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E7795">
              <w:rPr>
                <w:rFonts w:cs="Calibri"/>
                <w:color w:val="000000"/>
                <w:kern w:val="0"/>
                <w:sz w:val="20"/>
                <w:szCs w:val="20"/>
              </w:rPr>
              <w:t>16200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000000" w:fill="EFD3D2"/>
            <w:noWrap/>
            <w:vAlign w:val="center"/>
            <w:hideMark/>
          </w:tcPr>
          <w:p w:rsidR="00BE7795" w:rsidRPr="00BE7795" w:rsidRDefault="00BE7795" w:rsidP="00BE7795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E7795">
              <w:rPr>
                <w:rFonts w:cs="Calibri"/>
                <w:color w:val="000000"/>
                <w:kern w:val="0"/>
                <w:sz w:val="20"/>
                <w:szCs w:val="20"/>
              </w:rPr>
              <w:t>16170</w:t>
            </w:r>
          </w:p>
        </w:tc>
      </w:tr>
      <w:tr w:rsidR="00BE7795" w:rsidRPr="00BE7795" w:rsidTr="00BE7795">
        <w:trPr>
          <w:trHeight w:val="285"/>
          <w:jc w:val="center"/>
        </w:trPr>
        <w:tc>
          <w:tcPr>
            <w:tcW w:w="5743" w:type="dxa"/>
            <w:gridSpan w:val="4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95" w:rsidRPr="00BE7795" w:rsidRDefault="00BE7795" w:rsidP="00BE77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77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数据来源：广州中原研究发展部，上月</w:t>
            </w:r>
            <w:r w:rsidRPr="00BE7795">
              <w:rPr>
                <w:rFonts w:cs="Calibri"/>
                <w:color w:val="000000"/>
                <w:kern w:val="0"/>
                <w:sz w:val="20"/>
                <w:szCs w:val="20"/>
              </w:rPr>
              <w:t>26</w:t>
            </w:r>
            <w:r w:rsidRPr="00BE77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  <w:r w:rsidRPr="00BE7795">
              <w:rPr>
                <w:rFonts w:cs="Calibri"/>
                <w:color w:val="000000"/>
                <w:kern w:val="0"/>
                <w:sz w:val="20"/>
                <w:szCs w:val="20"/>
              </w:rPr>
              <w:t>-</w:t>
            </w:r>
            <w:r w:rsidRPr="00BE77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本月</w:t>
            </w:r>
            <w:r w:rsidRPr="00BE7795">
              <w:rPr>
                <w:rFonts w:cs="Calibri"/>
                <w:color w:val="000000"/>
                <w:kern w:val="0"/>
                <w:sz w:val="20"/>
                <w:szCs w:val="20"/>
              </w:rPr>
              <w:t>25</w:t>
            </w:r>
            <w:r w:rsidRPr="00BE77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C94F48" w:rsidRDefault="008370DE" w:rsidP="00C94F48">
      <w:pPr>
        <w:pStyle w:val="2"/>
        <w:spacing w:beforeLines="50" w:before="156" w:after="0" w:line="300" w:lineRule="auto"/>
        <w:rPr>
          <w:rFonts w:ascii="宋体" w:eastAsia="宋体" w:hAnsi="宋体"/>
          <w:color w:val="C00000"/>
          <w:sz w:val="22"/>
          <w:szCs w:val="22"/>
        </w:rPr>
      </w:pPr>
      <w:r>
        <w:rPr>
          <w:rFonts w:ascii="宋体" w:eastAsia="宋体" w:hAnsi="宋体" w:hint="eastAsia"/>
          <w:color w:val="C00000"/>
          <w:sz w:val="22"/>
          <w:szCs w:val="22"/>
        </w:rPr>
        <w:t>【供应</w:t>
      </w:r>
      <w:r w:rsidR="00BE7795">
        <w:rPr>
          <w:rFonts w:ascii="宋体" w:eastAsia="宋体" w:hAnsi="宋体" w:hint="eastAsia"/>
          <w:color w:val="C00000"/>
          <w:sz w:val="22"/>
          <w:szCs w:val="22"/>
        </w:rPr>
        <w:t>情况</w:t>
      </w:r>
      <w:r>
        <w:rPr>
          <w:rFonts w:ascii="宋体" w:eastAsia="宋体" w:hAnsi="宋体" w:hint="eastAsia"/>
          <w:color w:val="C00000"/>
          <w:sz w:val="22"/>
          <w:szCs w:val="22"/>
        </w:rPr>
        <w:t>】</w:t>
      </w:r>
      <w:r w:rsidR="00BE7795">
        <w:rPr>
          <w:rFonts w:ascii="宋体" w:eastAsia="宋体" w:hAnsi="宋体" w:hint="eastAsia"/>
          <w:color w:val="C00000"/>
          <w:sz w:val="22"/>
          <w:szCs w:val="22"/>
        </w:rPr>
        <w:t>历史最低水平，供应仅为1月的零头</w:t>
      </w:r>
    </w:p>
    <w:p w:rsidR="006C3732" w:rsidRDefault="00BE7795" w:rsidP="005D6B54">
      <w:pPr>
        <w:spacing w:beforeLines="50" w:before="156" w:line="30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2月全市一手住宅新批预售5.36万㎡，环比减少90%，同比亦少84%。对比2013年至今的供应历史，即便各年供应量最少的月份，亦未曾出现如此少量的供应。近几年中供应</w:t>
      </w:r>
      <w:r w:rsidR="003B5652">
        <w:rPr>
          <w:rFonts w:ascii="宋体" w:hAnsi="宋体" w:hint="eastAsia"/>
        </w:rPr>
        <w:t>量</w:t>
      </w:r>
      <w:r>
        <w:rPr>
          <w:rFonts w:ascii="宋体" w:hAnsi="宋体" w:hint="eastAsia"/>
        </w:rPr>
        <w:t>最少的2015年3月，全市一手住宅预售仅21.12万㎡，但都已接近</w:t>
      </w:r>
      <w:r w:rsidR="003B5652">
        <w:rPr>
          <w:rFonts w:ascii="宋体" w:hAnsi="宋体" w:hint="eastAsia"/>
        </w:rPr>
        <w:t>今年</w:t>
      </w:r>
      <w:r>
        <w:rPr>
          <w:rFonts w:ascii="宋体" w:hAnsi="宋体" w:hint="eastAsia"/>
        </w:rPr>
        <w:t>2月供应量的4倍。</w:t>
      </w:r>
    </w:p>
    <w:p w:rsidR="00BE7795" w:rsidRPr="00BE7795" w:rsidRDefault="00BE7795" w:rsidP="005D6B54">
      <w:pPr>
        <w:spacing w:beforeLines="50" w:before="156" w:line="30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早前广州中原研究发展部就在2月中对</w:t>
      </w:r>
      <w:r w:rsidR="00AA7402">
        <w:rPr>
          <w:rFonts w:ascii="宋体" w:hAnsi="宋体" w:hint="eastAsia"/>
        </w:rPr>
        <w:t>广州市场的供应情况进行分析</w:t>
      </w:r>
      <w:r w:rsidR="00FE20DD">
        <w:rPr>
          <w:rFonts w:ascii="宋体" w:hAnsi="宋体" w:hint="eastAsia"/>
        </w:rPr>
        <w:t>及预测。</w:t>
      </w:r>
      <w:r w:rsidR="00AA7402">
        <w:rPr>
          <w:rFonts w:ascii="宋体" w:hAnsi="宋体" w:hint="eastAsia"/>
        </w:rPr>
        <w:t>暂时</w:t>
      </w:r>
      <w:r w:rsidR="00FE20DD">
        <w:rPr>
          <w:rFonts w:ascii="宋体" w:hAnsi="宋体" w:hint="eastAsia"/>
        </w:rPr>
        <w:t>，</w:t>
      </w:r>
      <w:r w:rsidR="00AA7402">
        <w:rPr>
          <w:rFonts w:ascii="宋体" w:hAnsi="宋体" w:hint="eastAsia"/>
        </w:rPr>
        <w:t>该种供应未</w:t>
      </w:r>
      <w:r w:rsidR="00FE20DD">
        <w:rPr>
          <w:rFonts w:ascii="宋体" w:hAnsi="宋体" w:hint="eastAsia"/>
        </w:rPr>
        <w:t>能满足去化的情况，一时难以扭转，一方面是新开工、土地储备等减少，新增供应自然就减少</w:t>
      </w:r>
      <w:r w:rsidR="00AA7402">
        <w:rPr>
          <w:rFonts w:ascii="宋体" w:hAnsi="宋体" w:hint="eastAsia"/>
        </w:rPr>
        <w:t>；另一方面，在整个2016年高速去化的状态下，市场可售货量大幅度减少，同时</w:t>
      </w:r>
      <w:r w:rsidR="00D9068E">
        <w:rPr>
          <w:rFonts w:ascii="宋体" w:hAnsi="宋体" w:hint="eastAsia"/>
        </w:rPr>
        <w:t>响</w:t>
      </w:r>
      <w:r w:rsidR="00AA7402">
        <w:rPr>
          <w:rFonts w:ascii="宋体" w:hAnsi="宋体" w:hint="eastAsia"/>
        </w:rPr>
        <w:t>应去库存的号召，2016年比2015年削减了22%的库存，消化周期也在半年之内。而恰逢1-2月春节期间，</w:t>
      </w:r>
      <w:r w:rsidR="00D9068E">
        <w:rPr>
          <w:rFonts w:ascii="宋体" w:hAnsi="宋体" w:hint="eastAsia"/>
        </w:rPr>
        <w:t>推盘意愿减少，</w:t>
      </w:r>
      <w:r w:rsidR="00AA7402">
        <w:rPr>
          <w:rFonts w:ascii="宋体" w:hAnsi="宋体" w:hint="eastAsia"/>
        </w:rPr>
        <w:t>取得预售证的项目更少。只不过，</w:t>
      </w:r>
      <w:r w:rsidR="00D9068E">
        <w:rPr>
          <w:rFonts w:ascii="宋体" w:hAnsi="宋体" w:hint="eastAsia"/>
        </w:rPr>
        <w:t>今年的</w:t>
      </w:r>
      <w:r w:rsidR="00AA7402">
        <w:rPr>
          <w:rFonts w:ascii="宋体" w:hAnsi="宋体" w:hint="eastAsia"/>
        </w:rPr>
        <w:t>2月</w:t>
      </w:r>
      <w:r w:rsidR="00D9068E">
        <w:rPr>
          <w:rFonts w:ascii="宋体" w:hAnsi="宋体" w:hint="eastAsia"/>
        </w:rPr>
        <w:t>是历史上供应最少的月份。</w:t>
      </w:r>
    </w:p>
    <w:p w:rsidR="00AA7402" w:rsidRPr="00AA7402" w:rsidRDefault="00AA7402" w:rsidP="00AA7402">
      <w:pPr>
        <w:pStyle w:val="a5"/>
        <w:keepNext/>
        <w:spacing w:beforeLines="50" w:before="156"/>
        <w:jc w:val="center"/>
        <w:rPr>
          <w:rFonts w:ascii="宋体" w:eastAsia="宋体" w:hAnsi="宋体"/>
          <w:b/>
          <w:color w:val="C00000"/>
          <w:sz w:val="18"/>
          <w:szCs w:val="18"/>
        </w:rPr>
      </w:pPr>
      <w:r w:rsidRPr="00AA7402">
        <w:rPr>
          <w:rFonts w:ascii="宋体" w:eastAsia="宋体" w:hAnsi="宋体" w:hint="eastAsia"/>
          <w:b/>
          <w:color w:val="C00000"/>
          <w:sz w:val="18"/>
          <w:szCs w:val="18"/>
        </w:rPr>
        <w:lastRenderedPageBreak/>
        <w:t xml:space="preserve">图表 </w:t>
      </w:r>
      <w:r w:rsidRPr="00AA7402">
        <w:rPr>
          <w:rFonts w:ascii="宋体" w:eastAsia="宋体" w:hAnsi="宋体"/>
          <w:b/>
          <w:color w:val="C00000"/>
          <w:sz w:val="18"/>
          <w:szCs w:val="18"/>
        </w:rPr>
        <w:fldChar w:fldCharType="begin"/>
      </w:r>
      <w:r w:rsidRPr="00AA7402">
        <w:rPr>
          <w:rFonts w:ascii="宋体" w:eastAsia="宋体" w:hAnsi="宋体"/>
          <w:b/>
          <w:color w:val="C00000"/>
          <w:sz w:val="18"/>
          <w:szCs w:val="18"/>
        </w:rPr>
        <w:instrText xml:space="preserve"> </w:instrText>
      </w:r>
      <w:r w:rsidRPr="00AA7402">
        <w:rPr>
          <w:rFonts w:ascii="宋体" w:eastAsia="宋体" w:hAnsi="宋体" w:hint="eastAsia"/>
          <w:b/>
          <w:color w:val="C00000"/>
          <w:sz w:val="18"/>
          <w:szCs w:val="18"/>
        </w:rPr>
        <w:instrText>SEQ 图表 \* ARABIC</w:instrText>
      </w:r>
      <w:r w:rsidRPr="00AA7402">
        <w:rPr>
          <w:rFonts w:ascii="宋体" w:eastAsia="宋体" w:hAnsi="宋体"/>
          <w:b/>
          <w:color w:val="C00000"/>
          <w:sz w:val="18"/>
          <w:szCs w:val="18"/>
        </w:rPr>
        <w:instrText xml:space="preserve"> </w:instrText>
      </w:r>
      <w:r w:rsidRPr="00AA7402">
        <w:rPr>
          <w:rFonts w:ascii="宋体" w:eastAsia="宋体" w:hAnsi="宋体"/>
          <w:b/>
          <w:color w:val="C00000"/>
          <w:sz w:val="18"/>
          <w:szCs w:val="18"/>
        </w:rPr>
        <w:fldChar w:fldCharType="separate"/>
      </w:r>
      <w:r w:rsidR="00C343A3">
        <w:rPr>
          <w:rFonts w:ascii="宋体" w:eastAsia="宋体" w:hAnsi="宋体"/>
          <w:b/>
          <w:noProof/>
          <w:color w:val="C00000"/>
          <w:sz w:val="18"/>
          <w:szCs w:val="18"/>
        </w:rPr>
        <w:t>2</w:t>
      </w:r>
      <w:r w:rsidRPr="00AA7402">
        <w:rPr>
          <w:rFonts w:ascii="宋体" w:eastAsia="宋体" w:hAnsi="宋体"/>
          <w:b/>
          <w:color w:val="C00000"/>
          <w:sz w:val="18"/>
          <w:szCs w:val="18"/>
        </w:rPr>
        <w:fldChar w:fldCharType="end"/>
      </w:r>
      <w:r w:rsidRPr="00AA7402">
        <w:rPr>
          <w:rFonts w:ascii="宋体" w:eastAsia="宋体" w:hAnsi="宋体" w:hint="eastAsia"/>
          <w:b/>
          <w:color w:val="C00000"/>
          <w:sz w:val="18"/>
          <w:szCs w:val="18"/>
        </w:rPr>
        <w:t xml:space="preserve">  </w:t>
      </w:r>
      <w:r w:rsidR="00726B52">
        <w:rPr>
          <w:rFonts w:ascii="宋体" w:eastAsia="宋体" w:hAnsi="宋体" w:hint="eastAsia"/>
          <w:b/>
          <w:color w:val="C00000"/>
          <w:sz w:val="18"/>
          <w:szCs w:val="18"/>
        </w:rPr>
        <w:t>近</w:t>
      </w:r>
      <w:r w:rsidRPr="00AA7402">
        <w:rPr>
          <w:rFonts w:ascii="宋体" w:eastAsia="宋体" w:hAnsi="宋体" w:hint="eastAsia"/>
          <w:b/>
          <w:color w:val="C00000"/>
          <w:sz w:val="18"/>
          <w:szCs w:val="18"/>
        </w:rPr>
        <w:t>年广州一手住宅月度新批预售面积变动</w:t>
      </w:r>
    </w:p>
    <w:p w:rsidR="00BE7795" w:rsidRDefault="00BE7795" w:rsidP="00BE7795">
      <w:pPr>
        <w:spacing w:beforeLines="50" w:before="156" w:line="300" w:lineRule="auto"/>
        <w:rPr>
          <w:rFonts w:ascii="宋体" w:hAnsi="宋体"/>
        </w:rPr>
      </w:pPr>
      <w:r>
        <w:rPr>
          <w:noProof/>
        </w:rPr>
        <w:drawing>
          <wp:inline distT="0" distB="0" distL="0" distR="0" wp14:anchorId="5199DDAA" wp14:editId="16D9A2D2">
            <wp:extent cx="5314950" cy="2343150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7402" w:rsidRDefault="00AA7402" w:rsidP="00D9068E">
      <w:pPr>
        <w:spacing w:beforeLines="50" w:before="156" w:line="30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根据广州中原研究发展部监测，整个2月实际上仅发出3张住宅预售证，</w:t>
      </w:r>
      <w:r w:rsidR="00D9068E">
        <w:rPr>
          <w:rFonts w:ascii="宋体" w:hAnsi="宋体" w:hint="eastAsia"/>
        </w:rPr>
        <w:t>其中后两个保利的项目均在2月份有推盘动作，去化十分理想。这说明在市场有新货推出的情况下，市场吸纳能力</w:t>
      </w:r>
      <w:r w:rsidR="003B5652">
        <w:rPr>
          <w:rFonts w:ascii="宋体" w:hAnsi="宋体" w:hint="eastAsia"/>
        </w:rPr>
        <w:t>强劲</w:t>
      </w:r>
      <w:r w:rsidR="00D9068E">
        <w:rPr>
          <w:rFonts w:ascii="宋体" w:hAnsi="宋体" w:hint="eastAsia"/>
        </w:rPr>
        <w:t>。因此后市的复苏，其实市场成交的动力已然存在，复苏的程度，取决于供应的节奏是否能跟上。</w:t>
      </w:r>
    </w:p>
    <w:p w:rsidR="008376E1" w:rsidRPr="008376E1" w:rsidRDefault="008376E1" w:rsidP="008376E1">
      <w:pPr>
        <w:pStyle w:val="a5"/>
        <w:keepNext/>
        <w:spacing w:beforeLines="50" w:before="156"/>
        <w:jc w:val="center"/>
        <w:rPr>
          <w:rFonts w:ascii="宋体" w:eastAsia="宋体" w:hAnsi="宋体"/>
          <w:b/>
          <w:color w:val="C00000"/>
          <w:sz w:val="18"/>
          <w:szCs w:val="18"/>
        </w:rPr>
      </w:pPr>
      <w:r w:rsidRPr="008376E1">
        <w:rPr>
          <w:rFonts w:ascii="宋体" w:eastAsia="宋体" w:hAnsi="宋体" w:hint="eastAsia"/>
          <w:b/>
          <w:color w:val="C00000"/>
          <w:sz w:val="18"/>
          <w:szCs w:val="18"/>
        </w:rPr>
        <w:t xml:space="preserve">图表 </w:t>
      </w:r>
      <w:r w:rsidRPr="008376E1">
        <w:rPr>
          <w:rFonts w:ascii="宋体" w:eastAsia="宋体" w:hAnsi="宋体"/>
          <w:b/>
          <w:color w:val="C00000"/>
          <w:sz w:val="18"/>
          <w:szCs w:val="18"/>
        </w:rPr>
        <w:fldChar w:fldCharType="begin"/>
      </w:r>
      <w:r w:rsidRPr="008376E1">
        <w:rPr>
          <w:rFonts w:ascii="宋体" w:eastAsia="宋体" w:hAnsi="宋体"/>
          <w:b/>
          <w:color w:val="C00000"/>
          <w:sz w:val="18"/>
          <w:szCs w:val="18"/>
        </w:rPr>
        <w:instrText xml:space="preserve"> </w:instrText>
      </w:r>
      <w:r w:rsidRPr="008376E1">
        <w:rPr>
          <w:rFonts w:ascii="宋体" w:eastAsia="宋体" w:hAnsi="宋体" w:hint="eastAsia"/>
          <w:b/>
          <w:color w:val="C00000"/>
          <w:sz w:val="18"/>
          <w:szCs w:val="18"/>
        </w:rPr>
        <w:instrText>SEQ 图表 \* ARABIC</w:instrText>
      </w:r>
      <w:r w:rsidRPr="008376E1">
        <w:rPr>
          <w:rFonts w:ascii="宋体" w:eastAsia="宋体" w:hAnsi="宋体"/>
          <w:b/>
          <w:color w:val="C00000"/>
          <w:sz w:val="18"/>
          <w:szCs w:val="18"/>
        </w:rPr>
        <w:instrText xml:space="preserve"> </w:instrText>
      </w:r>
      <w:r w:rsidRPr="008376E1">
        <w:rPr>
          <w:rFonts w:ascii="宋体" w:eastAsia="宋体" w:hAnsi="宋体"/>
          <w:b/>
          <w:color w:val="C00000"/>
          <w:sz w:val="18"/>
          <w:szCs w:val="18"/>
        </w:rPr>
        <w:fldChar w:fldCharType="separate"/>
      </w:r>
      <w:r w:rsidR="00C343A3">
        <w:rPr>
          <w:rFonts w:ascii="宋体" w:eastAsia="宋体" w:hAnsi="宋体"/>
          <w:b/>
          <w:noProof/>
          <w:color w:val="C00000"/>
          <w:sz w:val="18"/>
          <w:szCs w:val="18"/>
        </w:rPr>
        <w:t>3</w:t>
      </w:r>
      <w:r w:rsidRPr="008376E1">
        <w:rPr>
          <w:rFonts w:ascii="宋体" w:eastAsia="宋体" w:hAnsi="宋体"/>
          <w:b/>
          <w:color w:val="C00000"/>
          <w:sz w:val="18"/>
          <w:szCs w:val="18"/>
        </w:rPr>
        <w:fldChar w:fldCharType="end"/>
      </w:r>
      <w:r w:rsidRPr="008376E1">
        <w:rPr>
          <w:rFonts w:ascii="宋体" w:eastAsia="宋体" w:hAnsi="宋体" w:hint="eastAsia"/>
          <w:b/>
          <w:color w:val="C00000"/>
          <w:sz w:val="18"/>
          <w:szCs w:val="18"/>
        </w:rPr>
        <w:t xml:space="preserve">  2017年2月新批预售证情况</w:t>
      </w:r>
    </w:p>
    <w:tbl>
      <w:tblPr>
        <w:tblW w:w="7776" w:type="dxa"/>
        <w:jc w:val="center"/>
        <w:tblInd w:w="93" w:type="dxa"/>
        <w:tblLook w:val="04A0" w:firstRow="1" w:lastRow="0" w:firstColumn="1" w:lastColumn="0" w:noHBand="0" w:noVBand="1"/>
      </w:tblPr>
      <w:tblGrid>
        <w:gridCol w:w="798"/>
        <w:gridCol w:w="1476"/>
        <w:gridCol w:w="1200"/>
        <w:gridCol w:w="1200"/>
        <w:gridCol w:w="1551"/>
        <w:gridCol w:w="1551"/>
      </w:tblGrid>
      <w:tr w:rsidR="00AA7402" w:rsidRPr="00AA7402" w:rsidTr="008376E1">
        <w:trPr>
          <w:trHeight w:val="270"/>
          <w:jc w:val="center"/>
        </w:trPr>
        <w:tc>
          <w:tcPr>
            <w:tcW w:w="79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000000" w:fill="F2DCDB"/>
            <w:noWrap/>
            <w:vAlign w:val="center"/>
            <w:hideMark/>
          </w:tcPr>
          <w:p w:rsidR="00AA7402" w:rsidRPr="00AA7402" w:rsidRDefault="00AA7402" w:rsidP="00AA74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区域</w:t>
            </w:r>
          </w:p>
        </w:tc>
        <w:tc>
          <w:tcPr>
            <w:tcW w:w="147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000000" w:fill="F2DCDB"/>
            <w:noWrap/>
            <w:vAlign w:val="center"/>
            <w:hideMark/>
          </w:tcPr>
          <w:p w:rsidR="00AA7402" w:rsidRPr="00AA7402" w:rsidRDefault="00AA7402" w:rsidP="00AA74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楼盘名称</w:t>
            </w:r>
          </w:p>
        </w:tc>
        <w:tc>
          <w:tcPr>
            <w:tcW w:w="120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000000" w:fill="F2DCDB"/>
            <w:noWrap/>
            <w:vAlign w:val="center"/>
            <w:hideMark/>
          </w:tcPr>
          <w:p w:rsidR="00AA7402" w:rsidRPr="00AA7402" w:rsidRDefault="00AA7402" w:rsidP="00AA74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新批套数</w:t>
            </w:r>
          </w:p>
        </w:tc>
        <w:tc>
          <w:tcPr>
            <w:tcW w:w="120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000000" w:fill="F2DCDB"/>
            <w:noWrap/>
            <w:vAlign w:val="center"/>
            <w:hideMark/>
          </w:tcPr>
          <w:p w:rsidR="008376E1" w:rsidRDefault="00AA7402" w:rsidP="00AA74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新批面积</w:t>
            </w:r>
          </w:p>
          <w:p w:rsidR="00AA7402" w:rsidRPr="00AA7402" w:rsidRDefault="00AA7402" w:rsidP="00AA74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（㎡）</w:t>
            </w:r>
          </w:p>
        </w:tc>
        <w:tc>
          <w:tcPr>
            <w:tcW w:w="155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000000" w:fill="F2DCDB"/>
            <w:noWrap/>
            <w:vAlign w:val="center"/>
            <w:hideMark/>
          </w:tcPr>
          <w:p w:rsidR="00AA7402" w:rsidRPr="00AA7402" w:rsidRDefault="00AA7402" w:rsidP="00AA74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2月网签套数</w:t>
            </w:r>
          </w:p>
        </w:tc>
        <w:tc>
          <w:tcPr>
            <w:tcW w:w="155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000000" w:fill="F2DCDB"/>
            <w:noWrap/>
            <w:vAlign w:val="center"/>
            <w:hideMark/>
          </w:tcPr>
          <w:p w:rsidR="008376E1" w:rsidRDefault="00AA7402" w:rsidP="00AA74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2月网签均价</w:t>
            </w:r>
          </w:p>
          <w:p w:rsidR="00AA7402" w:rsidRPr="00AA7402" w:rsidRDefault="00AA7402" w:rsidP="00AA74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（元/㎡）</w:t>
            </w:r>
          </w:p>
        </w:tc>
      </w:tr>
      <w:tr w:rsidR="00AA7402" w:rsidRPr="00AA7402" w:rsidTr="008376E1">
        <w:trPr>
          <w:trHeight w:val="270"/>
          <w:jc w:val="center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7402" w:rsidRPr="00AA7402" w:rsidRDefault="00AA7402" w:rsidP="00AA74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kern w:val="0"/>
                <w:sz w:val="20"/>
                <w:szCs w:val="20"/>
              </w:rPr>
              <w:t>花都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7402" w:rsidRPr="00AA7402" w:rsidRDefault="00AA7402" w:rsidP="00AA74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kern w:val="0"/>
                <w:sz w:val="20"/>
                <w:szCs w:val="20"/>
              </w:rPr>
              <w:t>元邦山清水秀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7402" w:rsidRPr="00AA7402" w:rsidRDefault="00AA7402" w:rsidP="008376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7402" w:rsidRPr="00AA7402" w:rsidRDefault="00AA7402" w:rsidP="008376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kern w:val="0"/>
                <w:sz w:val="20"/>
                <w:szCs w:val="20"/>
              </w:rPr>
              <w:t>7,472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7402" w:rsidRPr="00AA7402" w:rsidRDefault="00AA7402" w:rsidP="008376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7402" w:rsidRPr="00AA7402" w:rsidRDefault="00AA7402" w:rsidP="008376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kern w:val="0"/>
                <w:sz w:val="20"/>
                <w:szCs w:val="20"/>
              </w:rPr>
              <w:t>8,114</w:t>
            </w:r>
          </w:p>
        </w:tc>
      </w:tr>
      <w:tr w:rsidR="00AA7402" w:rsidRPr="00AA7402" w:rsidTr="008376E1">
        <w:trPr>
          <w:trHeight w:val="382"/>
          <w:jc w:val="center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AA7402" w:rsidRPr="00AA7402" w:rsidRDefault="00AA7402" w:rsidP="00AA74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kern w:val="0"/>
                <w:sz w:val="20"/>
                <w:szCs w:val="20"/>
              </w:rPr>
              <w:t>南沙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AA7402" w:rsidRPr="00AA7402" w:rsidRDefault="00AA7402" w:rsidP="00AA74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kern w:val="0"/>
                <w:sz w:val="20"/>
                <w:szCs w:val="20"/>
              </w:rPr>
              <w:t>保利星海小镇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AA7402" w:rsidRPr="00AA7402" w:rsidRDefault="00AA7402" w:rsidP="008376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AA7402" w:rsidRPr="00AA7402" w:rsidRDefault="00AA7402" w:rsidP="008376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kern w:val="0"/>
                <w:sz w:val="20"/>
                <w:szCs w:val="20"/>
              </w:rPr>
              <w:t>37,137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AA7402" w:rsidRPr="00AA7402" w:rsidRDefault="00AA7402" w:rsidP="008376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AA7402" w:rsidRPr="00AA7402" w:rsidRDefault="00AA7402" w:rsidP="008376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kern w:val="0"/>
                <w:sz w:val="20"/>
                <w:szCs w:val="20"/>
              </w:rPr>
              <w:t>11,552</w:t>
            </w:r>
          </w:p>
        </w:tc>
      </w:tr>
      <w:tr w:rsidR="00AA7402" w:rsidRPr="00AA7402" w:rsidTr="008376E1">
        <w:trPr>
          <w:trHeight w:val="270"/>
          <w:jc w:val="center"/>
        </w:trPr>
        <w:tc>
          <w:tcPr>
            <w:tcW w:w="798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AA7402" w:rsidRPr="00AA7402" w:rsidRDefault="00AA7402" w:rsidP="00AA74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AA7402" w:rsidRPr="00AA7402" w:rsidRDefault="00AA7402" w:rsidP="00AA74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kern w:val="0"/>
                <w:sz w:val="20"/>
                <w:szCs w:val="20"/>
              </w:rPr>
              <w:t>保利I立方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AA7402" w:rsidRPr="00AA7402" w:rsidRDefault="00AA7402" w:rsidP="008376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AA7402" w:rsidRPr="00AA7402" w:rsidRDefault="00AA7402" w:rsidP="008376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kern w:val="0"/>
                <w:sz w:val="20"/>
                <w:szCs w:val="20"/>
              </w:rPr>
              <w:t>8,988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AA7402" w:rsidRPr="00AA7402" w:rsidRDefault="00AA7402" w:rsidP="008376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AA7402" w:rsidRPr="00AA7402" w:rsidRDefault="00AA7402" w:rsidP="008376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kern w:val="0"/>
                <w:sz w:val="20"/>
                <w:szCs w:val="20"/>
              </w:rPr>
              <w:t>12,617</w:t>
            </w:r>
          </w:p>
        </w:tc>
      </w:tr>
      <w:tr w:rsidR="00AA7402" w:rsidRPr="00AA7402" w:rsidTr="008376E1">
        <w:trPr>
          <w:trHeight w:val="270"/>
          <w:jc w:val="center"/>
        </w:trPr>
        <w:tc>
          <w:tcPr>
            <w:tcW w:w="7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02" w:rsidRPr="00AA7402" w:rsidRDefault="00AA7402" w:rsidP="00AA740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74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数据来源：广州中原研究发展部</w:t>
            </w:r>
          </w:p>
        </w:tc>
      </w:tr>
    </w:tbl>
    <w:p w:rsidR="00653D74" w:rsidRPr="00051F60" w:rsidRDefault="008370DE" w:rsidP="00051F60">
      <w:pPr>
        <w:pStyle w:val="2"/>
        <w:spacing w:beforeLines="50" w:before="156" w:after="0" w:line="300" w:lineRule="auto"/>
        <w:rPr>
          <w:rFonts w:ascii="宋体" w:eastAsia="宋体" w:hAnsi="宋体"/>
          <w:color w:val="C00000"/>
          <w:sz w:val="22"/>
          <w:szCs w:val="22"/>
        </w:rPr>
      </w:pPr>
      <w:r>
        <w:rPr>
          <w:rFonts w:ascii="宋体" w:eastAsia="宋体" w:hAnsi="宋体" w:hint="eastAsia"/>
          <w:color w:val="C00000"/>
          <w:sz w:val="22"/>
          <w:szCs w:val="22"/>
        </w:rPr>
        <w:t>【库存状况】</w:t>
      </w:r>
      <w:r w:rsidR="00AA1B1A">
        <w:rPr>
          <w:rFonts w:ascii="宋体" w:eastAsia="宋体" w:hAnsi="宋体" w:hint="eastAsia"/>
          <w:color w:val="C00000"/>
          <w:sz w:val="22"/>
          <w:szCs w:val="22"/>
        </w:rPr>
        <w:t>供应锐减</w:t>
      </w:r>
      <w:r w:rsidR="003B5652">
        <w:rPr>
          <w:rFonts w:ascii="宋体" w:eastAsia="宋体" w:hAnsi="宋体" w:hint="eastAsia"/>
          <w:color w:val="C00000"/>
          <w:sz w:val="22"/>
          <w:szCs w:val="22"/>
        </w:rPr>
        <w:t>致</w:t>
      </w:r>
      <w:r w:rsidR="00AA1B1A">
        <w:rPr>
          <w:rFonts w:ascii="宋体" w:eastAsia="宋体" w:hAnsi="宋体" w:hint="eastAsia"/>
          <w:color w:val="C00000"/>
          <w:sz w:val="22"/>
          <w:szCs w:val="22"/>
        </w:rPr>
        <w:t>库存大幅缩水12%</w:t>
      </w:r>
    </w:p>
    <w:p w:rsidR="00BD5A2E" w:rsidRDefault="00C343A3" w:rsidP="00BD5A2E">
      <w:pPr>
        <w:spacing w:beforeLines="50" w:before="156" w:line="30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虽然2月网签量腰斩，不过供应源头跟不上，库存仍然继续减少，至610.46万㎡，较1月再减少12%，而库存消化周期亦在上个月基础上再缩短0.4个月</w:t>
      </w:r>
      <w:r w:rsidR="004C3471">
        <w:rPr>
          <w:rFonts w:ascii="宋体" w:hAnsi="宋体" w:hint="eastAsia"/>
        </w:rPr>
        <w:t>。</w:t>
      </w:r>
    </w:p>
    <w:p w:rsidR="00C343A3" w:rsidRDefault="00C343A3" w:rsidP="00BD5A2E">
      <w:pPr>
        <w:spacing w:beforeLines="50" w:before="156" w:line="30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除了荔湾的库存消化周期加长外，其他区域均缩短。不过荔湾的消化周期主要是</w:t>
      </w:r>
      <w:r w:rsidR="00CB6A04">
        <w:rPr>
          <w:rFonts w:ascii="宋体" w:hAnsi="宋体" w:hint="eastAsia"/>
        </w:rPr>
        <w:t>去年</w:t>
      </w:r>
      <w:r>
        <w:rPr>
          <w:rFonts w:ascii="宋体" w:hAnsi="宋体" w:hint="eastAsia"/>
        </w:rPr>
        <w:t>12</w:t>
      </w:r>
      <w:r w:rsidR="00CB6A04">
        <w:rPr>
          <w:rFonts w:ascii="宋体" w:hAnsi="宋体" w:hint="eastAsia"/>
        </w:rPr>
        <w:t>月</w:t>
      </w:r>
      <w:r>
        <w:rPr>
          <w:rFonts w:ascii="宋体" w:hAnsi="宋体" w:hint="eastAsia"/>
        </w:rPr>
        <w:t>-</w:t>
      </w:r>
      <w:r w:rsidR="00CB6A04">
        <w:rPr>
          <w:rFonts w:ascii="宋体" w:hAnsi="宋体" w:hint="eastAsia"/>
        </w:rPr>
        <w:t>今年</w:t>
      </w:r>
      <w:r>
        <w:rPr>
          <w:rFonts w:ascii="宋体" w:hAnsi="宋体" w:hint="eastAsia"/>
        </w:rPr>
        <w:t>1月期间有批量新增预售，而近两个月又遇上春节假期成交放缓所致，实际上所有区的库存均继续</w:t>
      </w:r>
      <w:r w:rsidR="00CB6A04">
        <w:rPr>
          <w:rFonts w:ascii="宋体" w:hAnsi="宋体" w:hint="eastAsia"/>
        </w:rPr>
        <w:t>减少</w:t>
      </w:r>
      <w:r>
        <w:rPr>
          <w:rFonts w:ascii="宋体" w:hAnsi="宋体" w:hint="eastAsia"/>
        </w:rPr>
        <w:t>。其中花都区因广州万达文化旅游城</w:t>
      </w:r>
      <w:r w:rsidR="00AA1B1A">
        <w:rPr>
          <w:rFonts w:ascii="宋体" w:hAnsi="宋体" w:hint="eastAsia"/>
        </w:rPr>
        <w:t>大量</w:t>
      </w:r>
      <w:r>
        <w:rPr>
          <w:rFonts w:ascii="宋体" w:hAnsi="宋体" w:hint="eastAsia"/>
        </w:rPr>
        <w:t>网签而极大地减少库存面积，使区域的库存消化周期从1月的9.3个月急速缩短至5.9个月。</w:t>
      </w:r>
    </w:p>
    <w:p w:rsidR="00AA1B1A" w:rsidRDefault="00AA1B1A" w:rsidP="00BD5A2E">
      <w:pPr>
        <w:spacing w:beforeLines="50" w:before="156" w:line="30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不过二月因为新增供应极少，因此消化周期的变动尚需要</w:t>
      </w:r>
      <w:r w:rsidR="00CB6A04">
        <w:rPr>
          <w:rFonts w:ascii="宋体" w:hAnsi="宋体" w:hint="eastAsia"/>
        </w:rPr>
        <w:t>等</w:t>
      </w:r>
      <w:r>
        <w:rPr>
          <w:rFonts w:ascii="宋体" w:hAnsi="宋体" w:hint="eastAsia"/>
        </w:rPr>
        <w:t>待供应恢复到一定水平后才</w:t>
      </w:r>
      <w:r w:rsidR="00CB6A04">
        <w:rPr>
          <w:rFonts w:ascii="宋体" w:hAnsi="宋体" w:hint="eastAsia"/>
        </w:rPr>
        <w:t>真实</w:t>
      </w:r>
      <w:r>
        <w:rPr>
          <w:rFonts w:ascii="宋体" w:hAnsi="宋体" w:hint="eastAsia"/>
        </w:rPr>
        <w:t>的反映市场。</w:t>
      </w:r>
    </w:p>
    <w:p w:rsidR="00203136" w:rsidRPr="00203136" w:rsidRDefault="00203136" w:rsidP="00203136">
      <w:pPr>
        <w:pStyle w:val="a5"/>
        <w:keepNext/>
        <w:spacing w:beforeLines="50" w:before="156"/>
        <w:jc w:val="center"/>
        <w:rPr>
          <w:rFonts w:ascii="宋体" w:eastAsia="宋体" w:hAnsi="宋体"/>
          <w:b/>
          <w:color w:val="C00000"/>
          <w:sz w:val="18"/>
          <w:szCs w:val="18"/>
        </w:rPr>
      </w:pPr>
      <w:r w:rsidRPr="00203136">
        <w:rPr>
          <w:rFonts w:ascii="宋体" w:eastAsia="宋体" w:hAnsi="宋体" w:hint="eastAsia"/>
          <w:b/>
          <w:color w:val="C00000"/>
          <w:sz w:val="18"/>
          <w:szCs w:val="18"/>
        </w:rPr>
        <w:lastRenderedPageBreak/>
        <w:t xml:space="preserve">图表 </w:t>
      </w:r>
      <w:r w:rsidRPr="00203136">
        <w:rPr>
          <w:rFonts w:ascii="宋体" w:eastAsia="宋体" w:hAnsi="宋体"/>
          <w:b/>
          <w:color w:val="C00000"/>
          <w:sz w:val="18"/>
          <w:szCs w:val="18"/>
        </w:rPr>
        <w:fldChar w:fldCharType="begin"/>
      </w:r>
      <w:r w:rsidRPr="00203136">
        <w:rPr>
          <w:rFonts w:ascii="宋体" w:eastAsia="宋体" w:hAnsi="宋体"/>
          <w:b/>
          <w:color w:val="C00000"/>
          <w:sz w:val="18"/>
          <w:szCs w:val="18"/>
        </w:rPr>
        <w:instrText xml:space="preserve"> </w:instrText>
      </w:r>
      <w:r w:rsidRPr="00203136">
        <w:rPr>
          <w:rFonts w:ascii="宋体" w:eastAsia="宋体" w:hAnsi="宋体" w:hint="eastAsia"/>
          <w:b/>
          <w:color w:val="C00000"/>
          <w:sz w:val="18"/>
          <w:szCs w:val="18"/>
        </w:rPr>
        <w:instrText>SEQ 图表 \* ARABIC</w:instrText>
      </w:r>
      <w:r w:rsidRPr="00203136">
        <w:rPr>
          <w:rFonts w:ascii="宋体" w:eastAsia="宋体" w:hAnsi="宋体"/>
          <w:b/>
          <w:color w:val="C00000"/>
          <w:sz w:val="18"/>
          <w:szCs w:val="18"/>
        </w:rPr>
        <w:instrText xml:space="preserve"> </w:instrText>
      </w:r>
      <w:r w:rsidRPr="00203136">
        <w:rPr>
          <w:rFonts w:ascii="宋体" w:eastAsia="宋体" w:hAnsi="宋体"/>
          <w:b/>
          <w:color w:val="C00000"/>
          <w:sz w:val="18"/>
          <w:szCs w:val="18"/>
        </w:rPr>
        <w:fldChar w:fldCharType="separate"/>
      </w:r>
      <w:r w:rsidR="00C343A3">
        <w:rPr>
          <w:rFonts w:ascii="宋体" w:eastAsia="宋体" w:hAnsi="宋体"/>
          <w:b/>
          <w:noProof/>
          <w:color w:val="C00000"/>
          <w:sz w:val="18"/>
          <w:szCs w:val="18"/>
        </w:rPr>
        <w:t>4</w:t>
      </w:r>
      <w:r w:rsidRPr="00203136">
        <w:rPr>
          <w:rFonts w:ascii="宋体" w:eastAsia="宋体" w:hAnsi="宋体"/>
          <w:b/>
          <w:color w:val="C00000"/>
          <w:sz w:val="18"/>
          <w:szCs w:val="18"/>
        </w:rPr>
        <w:fldChar w:fldCharType="end"/>
      </w:r>
      <w:r w:rsidRPr="00203136">
        <w:rPr>
          <w:rFonts w:ascii="宋体" w:eastAsia="宋体" w:hAnsi="宋体" w:hint="eastAsia"/>
          <w:b/>
          <w:color w:val="C00000"/>
          <w:sz w:val="18"/>
          <w:szCs w:val="18"/>
        </w:rPr>
        <w:t xml:space="preserve">  近一年广州库存及消化周期变动</w:t>
      </w:r>
    </w:p>
    <w:p w:rsidR="00A462B9" w:rsidRDefault="00C343A3" w:rsidP="00FD2C91">
      <w:pPr>
        <w:spacing w:beforeLines="50" w:before="156" w:line="300" w:lineRule="auto"/>
        <w:jc w:val="center"/>
        <w:rPr>
          <w:rFonts w:ascii="宋体" w:hAnsi="宋体"/>
        </w:rPr>
      </w:pPr>
      <w:r>
        <w:rPr>
          <w:noProof/>
        </w:rPr>
        <w:drawing>
          <wp:inline distT="0" distB="0" distL="0" distR="0" wp14:anchorId="7F336F82" wp14:editId="7349C68F">
            <wp:extent cx="4860000" cy="2340000"/>
            <wp:effectExtent l="0" t="0" r="0" b="317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43A3" w:rsidRPr="00C343A3" w:rsidRDefault="00C343A3" w:rsidP="00C343A3">
      <w:pPr>
        <w:pStyle w:val="a5"/>
        <w:keepNext/>
        <w:spacing w:beforeLines="50" w:before="156"/>
        <w:jc w:val="center"/>
        <w:rPr>
          <w:rFonts w:ascii="宋体" w:eastAsia="宋体" w:hAnsi="宋体"/>
          <w:b/>
          <w:color w:val="C00000"/>
          <w:sz w:val="18"/>
          <w:szCs w:val="18"/>
        </w:rPr>
      </w:pPr>
      <w:r w:rsidRPr="00C343A3">
        <w:rPr>
          <w:rFonts w:ascii="宋体" w:eastAsia="宋体" w:hAnsi="宋体" w:hint="eastAsia"/>
          <w:b/>
          <w:color w:val="C00000"/>
          <w:sz w:val="18"/>
          <w:szCs w:val="18"/>
        </w:rPr>
        <w:t xml:space="preserve">图表 </w:t>
      </w:r>
      <w:r w:rsidRPr="00C343A3">
        <w:rPr>
          <w:rFonts w:ascii="宋体" w:eastAsia="宋体" w:hAnsi="宋体"/>
          <w:b/>
          <w:color w:val="C00000"/>
          <w:sz w:val="18"/>
          <w:szCs w:val="18"/>
        </w:rPr>
        <w:fldChar w:fldCharType="begin"/>
      </w:r>
      <w:r w:rsidRPr="00C343A3">
        <w:rPr>
          <w:rFonts w:ascii="宋体" w:eastAsia="宋体" w:hAnsi="宋体"/>
          <w:b/>
          <w:color w:val="C00000"/>
          <w:sz w:val="18"/>
          <w:szCs w:val="18"/>
        </w:rPr>
        <w:instrText xml:space="preserve"> </w:instrText>
      </w:r>
      <w:r w:rsidRPr="00C343A3">
        <w:rPr>
          <w:rFonts w:ascii="宋体" w:eastAsia="宋体" w:hAnsi="宋体" w:hint="eastAsia"/>
          <w:b/>
          <w:color w:val="C00000"/>
          <w:sz w:val="18"/>
          <w:szCs w:val="18"/>
        </w:rPr>
        <w:instrText>SEQ 图表 \* ARABIC</w:instrText>
      </w:r>
      <w:r w:rsidRPr="00C343A3">
        <w:rPr>
          <w:rFonts w:ascii="宋体" w:eastAsia="宋体" w:hAnsi="宋体"/>
          <w:b/>
          <w:color w:val="C00000"/>
          <w:sz w:val="18"/>
          <w:szCs w:val="18"/>
        </w:rPr>
        <w:instrText xml:space="preserve"> </w:instrText>
      </w:r>
      <w:r w:rsidRPr="00C343A3">
        <w:rPr>
          <w:rFonts w:ascii="宋体" w:eastAsia="宋体" w:hAnsi="宋体"/>
          <w:b/>
          <w:color w:val="C00000"/>
          <w:sz w:val="18"/>
          <w:szCs w:val="18"/>
        </w:rPr>
        <w:fldChar w:fldCharType="separate"/>
      </w:r>
      <w:r w:rsidRPr="00C343A3">
        <w:rPr>
          <w:rFonts w:ascii="宋体" w:eastAsia="宋体" w:hAnsi="宋体"/>
          <w:b/>
          <w:color w:val="C00000"/>
          <w:sz w:val="18"/>
          <w:szCs w:val="18"/>
        </w:rPr>
        <w:t>5</w:t>
      </w:r>
      <w:r w:rsidRPr="00C343A3">
        <w:rPr>
          <w:rFonts w:ascii="宋体" w:eastAsia="宋体" w:hAnsi="宋体"/>
          <w:b/>
          <w:color w:val="C00000"/>
          <w:sz w:val="18"/>
          <w:szCs w:val="18"/>
        </w:rPr>
        <w:fldChar w:fldCharType="end"/>
      </w:r>
      <w:r w:rsidRPr="00C343A3">
        <w:rPr>
          <w:rFonts w:ascii="宋体" w:eastAsia="宋体" w:hAnsi="宋体" w:hint="eastAsia"/>
          <w:b/>
          <w:color w:val="C00000"/>
          <w:sz w:val="18"/>
          <w:szCs w:val="18"/>
        </w:rPr>
        <w:t xml:space="preserve">  各区库存及消化周期</w:t>
      </w:r>
    </w:p>
    <w:tbl>
      <w:tblPr>
        <w:tblW w:w="5986" w:type="dxa"/>
        <w:jc w:val="center"/>
        <w:tblInd w:w="93" w:type="dxa"/>
        <w:tblLook w:val="04A0" w:firstRow="1" w:lastRow="0" w:firstColumn="1" w:lastColumn="0" w:noHBand="0" w:noVBand="1"/>
      </w:tblPr>
      <w:tblGrid>
        <w:gridCol w:w="1080"/>
        <w:gridCol w:w="1501"/>
        <w:gridCol w:w="1903"/>
        <w:gridCol w:w="1502"/>
      </w:tblGrid>
      <w:tr w:rsidR="00C343A3" w:rsidRPr="00C343A3" w:rsidTr="00C343A3">
        <w:trPr>
          <w:trHeight w:val="285"/>
          <w:jc w:val="center"/>
        </w:trPr>
        <w:tc>
          <w:tcPr>
            <w:tcW w:w="108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行政区域</w:t>
            </w:r>
          </w:p>
        </w:tc>
        <w:tc>
          <w:tcPr>
            <w:tcW w:w="150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库存量-万㎡</w:t>
            </w:r>
          </w:p>
        </w:tc>
        <w:tc>
          <w:tcPr>
            <w:tcW w:w="190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库存消化周期-月</w:t>
            </w:r>
          </w:p>
        </w:tc>
        <w:tc>
          <w:tcPr>
            <w:tcW w:w="150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消化周期+/-</w:t>
            </w:r>
          </w:p>
        </w:tc>
      </w:tr>
      <w:tr w:rsidR="00C343A3" w:rsidRPr="00C343A3" w:rsidTr="00C343A3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越秀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5.12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343A3" w:rsidRPr="00C343A3" w:rsidTr="00C343A3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20.61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343A3" w:rsidRPr="00C343A3" w:rsidTr="00C343A3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荔湾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47.88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C343A3" w:rsidRPr="00C343A3" w:rsidTr="00C343A3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25.14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343A3" w:rsidRPr="00C343A3" w:rsidTr="00C343A3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白云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13.80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343A3" w:rsidRPr="00C343A3" w:rsidTr="00C343A3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黄埔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47.12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343A3" w:rsidRPr="00C343A3" w:rsidTr="00C343A3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花都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105.06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343A3" w:rsidRPr="00C343A3" w:rsidTr="00C343A3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番禺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101.41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343A3" w:rsidRPr="00C343A3" w:rsidTr="00C343A3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105.39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343A3" w:rsidRPr="00C343A3" w:rsidTr="00C343A3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从化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41.19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343A3" w:rsidRPr="00C343A3" w:rsidTr="00C343A3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增城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97.71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343A3" w:rsidRPr="00C343A3" w:rsidTr="00C343A3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610.46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343A3" w:rsidRPr="00C343A3" w:rsidTr="00C343A3">
        <w:trPr>
          <w:trHeight w:val="270"/>
          <w:jc w:val="center"/>
        </w:trPr>
        <w:tc>
          <w:tcPr>
            <w:tcW w:w="5986" w:type="dxa"/>
            <w:gridSpan w:val="4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数据来源：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广州</w:t>
            </w: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中原研究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发展</w:t>
            </w: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部，截至2017年2月25日</w:t>
            </w:r>
          </w:p>
        </w:tc>
      </w:tr>
    </w:tbl>
    <w:p w:rsidR="00A462B9" w:rsidRDefault="008370DE" w:rsidP="004331DF">
      <w:pPr>
        <w:pStyle w:val="2"/>
        <w:spacing w:beforeLines="50" w:before="156" w:after="0" w:line="300" w:lineRule="auto"/>
        <w:rPr>
          <w:rFonts w:ascii="宋体" w:eastAsia="宋体" w:hAnsi="宋体"/>
          <w:color w:val="C00000"/>
          <w:sz w:val="22"/>
          <w:szCs w:val="22"/>
        </w:rPr>
      </w:pPr>
      <w:r>
        <w:rPr>
          <w:rFonts w:ascii="宋体" w:eastAsia="宋体" w:hAnsi="宋体" w:hint="eastAsia"/>
          <w:color w:val="C00000"/>
          <w:sz w:val="22"/>
          <w:szCs w:val="22"/>
        </w:rPr>
        <w:t>【区域市场】</w:t>
      </w:r>
      <w:r w:rsidR="00CB6A04">
        <w:rPr>
          <w:rFonts w:ascii="宋体" w:eastAsia="宋体" w:hAnsi="宋体" w:hint="eastAsia"/>
          <w:color w:val="C00000"/>
          <w:sz w:val="22"/>
          <w:szCs w:val="22"/>
        </w:rPr>
        <w:t>全市仅增城网签面积超过10万㎡，南沙、花都超越黄埔</w:t>
      </w:r>
    </w:p>
    <w:p w:rsidR="00622044" w:rsidRDefault="00622044" w:rsidP="00622044">
      <w:pPr>
        <w:pStyle w:val="a5"/>
        <w:keepNext/>
        <w:spacing w:beforeLines="50" w:before="156"/>
        <w:jc w:val="center"/>
        <w:rPr>
          <w:rFonts w:ascii="宋体" w:eastAsia="宋体" w:hAnsi="宋体"/>
          <w:b/>
          <w:color w:val="C00000"/>
          <w:sz w:val="18"/>
          <w:szCs w:val="18"/>
        </w:rPr>
      </w:pPr>
      <w:r w:rsidRPr="00622044">
        <w:rPr>
          <w:rFonts w:ascii="宋体" w:eastAsia="宋体" w:hAnsi="宋体" w:hint="eastAsia"/>
          <w:b/>
          <w:color w:val="C00000"/>
          <w:sz w:val="18"/>
          <w:szCs w:val="18"/>
        </w:rPr>
        <w:t xml:space="preserve">图表 </w:t>
      </w:r>
      <w:r w:rsidRPr="00622044">
        <w:rPr>
          <w:rFonts w:ascii="宋体" w:eastAsia="宋体" w:hAnsi="宋体"/>
          <w:b/>
          <w:color w:val="C00000"/>
          <w:sz w:val="18"/>
          <w:szCs w:val="18"/>
        </w:rPr>
        <w:fldChar w:fldCharType="begin"/>
      </w:r>
      <w:r w:rsidRPr="00622044">
        <w:rPr>
          <w:rFonts w:ascii="宋体" w:eastAsia="宋体" w:hAnsi="宋体"/>
          <w:b/>
          <w:color w:val="C00000"/>
          <w:sz w:val="18"/>
          <w:szCs w:val="18"/>
        </w:rPr>
        <w:instrText xml:space="preserve"> </w:instrText>
      </w:r>
      <w:r w:rsidRPr="00622044">
        <w:rPr>
          <w:rFonts w:ascii="宋体" w:eastAsia="宋体" w:hAnsi="宋体" w:hint="eastAsia"/>
          <w:b/>
          <w:color w:val="C00000"/>
          <w:sz w:val="18"/>
          <w:szCs w:val="18"/>
        </w:rPr>
        <w:instrText>SEQ 图表 \* ARABIC</w:instrText>
      </w:r>
      <w:r w:rsidRPr="00622044">
        <w:rPr>
          <w:rFonts w:ascii="宋体" w:eastAsia="宋体" w:hAnsi="宋体"/>
          <w:b/>
          <w:color w:val="C00000"/>
          <w:sz w:val="18"/>
          <w:szCs w:val="18"/>
        </w:rPr>
        <w:instrText xml:space="preserve"> </w:instrText>
      </w:r>
      <w:r w:rsidRPr="00622044">
        <w:rPr>
          <w:rFonts w:ascii="宋体" w:eastAsia="宋体" w:hAnsi="宋体"/>
          <w:b/>
          <w:color w:val="C00000"/>
          <w:sz w:val="18"/>
          <w:szCs w:val="18"/>
        </w:rPr>
        <w:fldChar w:fldCharType="separate"/>
      </w:r>
      <w:r w:rsidR="00C343A3">
        <w:rPr>
          <w:rFonts w:ascii="宋体" w:eastAsia="宋体" w:hAnsi="宋体"/>
          <w:b/>
          <w:noProof/>
          <w:color w:val="C00000"/>
          <w:sz w:val="18"/>
          <w:szCs w:val="18"/>
        </w:rPr>
        <w:t>6</w:t>
      </w:r>
      <w:r w:rsidRPr="00622044">
        <w:rPr>
          <w:rFonts w:ascii="宋体" w:eastAsia="宋体" w:hAnsi="宋体"/>
          <w:b/>
          <w:color w:val="C00000"/>
          <w:sz w:val="18"/>
          <w:szCs w:val="18"/>
        </w:rPr>
        <w:fldChar w:fldCharType="end"/>
      </w:r>
      <w:r w:rsidRPr="00622044">
        <w:rPr>
          <w:rFonts w:ascii="宋体" w:eastAsia="宋体" w:hAnsi="宋体" w:hint="eastAsia"/>
          <w:b/>
          <w:color w:val="C00000"/>
          <w:sz w:val="18"/>
          <w:szCs w:val="18"/>
        </w:rPr>
        <w:t xml:space="preserve">  201</w:t>
      </w:r>
      <w:r w:rsidR="00960EA9">
        <w:rPr>
          <w:rFonts w:ascii="宋体" w:eastAsia="宋体" w:hAnsi="宋体" w:hint="eastAsia"/>
          <w:b/>
          <w:color w:val="C00000"/>
          <w:sz w:val="18"/>
          <w:szCs w:val="18"/>
        </w:rPr>
        <w:t>7</w:t>
      </w:r>
      <w:r w:rsidRPr="00622044">
        <w:rPr>
          <w:rFonts w:ascii="宋体" w:eastAsia="宋体" w:hAnsi="宋体" w:hint="eastAsia"/>
          <w:b/>
          <w:color w:val="C00000"/>
          <w:sz w:val="18"/>
          <w:szCs w:val="18"/>
        </w:rPr>
        <w:t>年</w:t>
      </w:r>
      <w:r w:rsidR="00C343A3">
        <w:rPr>
          <w:rFonts w:ascii="宋体" w:eastAsia="宋体" w:hAnsi="宋体" w:hint="eastAsia"/>
          <w:b/>
          <w:color w:val="C00000"/>
          <w:sz w:val="18"/>
          <w:szCs w:val="18"/>
        </w:rPr>
        <w:t>2</w:t>
      </w:r>
      <w:r w:rsidR="00960EA9">
        <w:rPr>
          <w:rFonts w:ascii="宋体" w:eastAsia="宋体" w:hAnsi="宋体" w:hint="eastAsia"/>
          <w:b/>
          <w:color w:val="C00000"/>
          <w:sz w:val="18"/>
          <w:szCs w:val="18"/>
        </w:rPr>
        <w:t>月</w:t>
      </w:r>
      <w:r w:rsidRPr="00622044">
        <w:rPr>
          <w:rFonts w:ascii="宋体" w:eastAsia="宋体" w:hAnsi="宋体" w:hint="eastAsia"/>
          <w:b/>
          <w:color w:val="C00000"/>
          <w:sz w:val="18"/>
          <w:szCs w:val="18"/>
        </w:rPr>
        <w:t>广州各区一手住宅供求量价情况</w:t>
      </w:r>
    </w:p>
    <w:tbl>
      <w:tblPr>
        <w:tblW w:w="8196" w:type="dxa"/>
        <w:tblInd w:w="93" w:type="dxa"/>
        <w:tblLook w:val="04A0" w:firstRow="1" w:lastRow="0" w:firstColumn="1" w:lastColumn="0" w:noHBand="0" w:noVBand="1"/>
      </w:tblPr>
      <w:tblGrid>
        <w:gridCol w:w="1080"/>
        <w:gridCol w:w="1240"/>
        <w:gridCol w:w="1396"/>
        <w:gridCol w:w="1240"/>
        <w:gridCol w:w="1080"/>
        <w:gridCol w:w="1080"/>
        <w:gridCol w:w="1080"/>
      </w:tblGrid>
      <w:tr w:rsidR="00C343A3" w:rsidRPr="00C343A3" w:rsidTr="00C343A3">
        <w:trPr>
          <w:trHeight w:val="270"/>
        </w:trPr>
        <w:tc>
          <w:tcPr>
            <w:tcW w:w="1080" w:type="dxa"/>
            <w:vMerge w:val="restar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行政区域</w:t>
            </w:r>
          </w:p>
        </w:tc>
        <w:tc>
          <w:tcPr>
            <w:tcW w:w="124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新批面积</w:t>
            </w:r>
          </w:p>
        </w:tc>
        <w:tc>
          <w:tcPr>
            <w:tcW w:w="1396" w:type="dxa"/>
            <w:vMerge w:val="restar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环比</w:t>
            </w:r>
          </w:p>
        </w:tc>
        <w:tc>
          <w:tcPr>
            <w:tcW w:w="124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网签面积</w:t>
            </w:r>
          </w:p>
        </w:tc>
        <w:tc>
          <w:tcPr>
            <w:tcW w:w="1080" w:type="dxa"/>
            <w:vMerge w:val="restar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环比</w:t>
            </w:r>
          </w:p>
        </w:tc>
        <w:tc>
          <w:tcPr>
            <w:tcW w:w="108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网签价格</w:t>
            </w:r>
          </w:p>
        </w:tc>
        <w:tc>
          <w:tcPr>
            <w:tcW w:w="1080" w:type="dxa"/>
            <w:vMerge w:val="restar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环比</w:t>
            </w:r>
          </w:p>
        </w:tc>
      </w:tr>
      <w:tr w:rsidR="00C343A3" w:rsidRPr="00C343A3" w:rsidTr="00C343A3">
        <w:trPr>
          <w:trHeight w:val="285"/>
        </w:trPr>
        <w:tc>
          <w:tcPr>
            <w:tcW w:w="1080" w:type="dxa"/>
            <w:vMerge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C343A3" w:rsidRPr="00C343A3" w:rsidRDefault="00C343A3" w:rsidP="00C343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（万㎡）</w:t>
            </w:r>
          </w:p>
        </w:tc>
        <w:tc>
          <w:tcPr>
            <w:tcW w:w="1396" w:type="dxa"/>
            <w:vMerge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C343A3" w:rsidRPr="00C343A3" w:rsidRDefault="00C343A3" w:rsidP="00C343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（万㎡）</w:t>
            </w:r>
          </w:p>
        </w:tc>
        <w:tc>
          <w:tcPr>
            <w:tcW w:w="1080" w:type="dxa"/>
            <w:vMerge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C343A3" w:rsidRPr="00C343A3" w:rsidRDefault="00C343A3" w:rsidP="00C343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（元/㎡）</w:t>
            </w:r>
          </w:p>
        </w:tc>
        <w:tc>
          <w:tcPr>
            <w:tcW w:w="1080" w:type="dxa"/>
            <w:vMerge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C343A3" w:rsidRPr="00C343A3" w:rsidRDefault="00C343A3" w:rsidP="00C343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343A3" w:rsidRPr="00C343A3" w:rsidTr="00C343A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越秀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-42%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22%</w:t>
            </w:r>
          </w:p>
        </w:tc>
      </w:tr>
      <w:tr w:rsidR="00C343A3" w:rsidRPr="00C343A3" w:rsidTr="00C343A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上月零供应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-64%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17%</w:t>
            </w:r>
          </w:p>
        </w:tc>
      </w:tr>
      <w:tr w:rsidR="00C343A3" w:rsidRPr="00C343A3" w:rsidTr="00C343A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荔湾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-70%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32%</w:t>
            </w:r>
          </w:p>
        </w:tc>
      </w:tr>
      <w:tr w:rsidR="00C343A3" w:rsidRPr="00C343A3" w:rsidTr="00C343A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天河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-57%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-22%</w:t>
            </w:r>
          </w:p>
        </w:tc>
      </w:tr>
      <w:tr w:rsidR="00C343A3" w:rsidRPr="00C343A3" w:rsidTr="00C343A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白云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上月零供应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-49%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32807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6%</w:t>
            </w:r>
          </w:p>
        </w:tc>
      </w:tr>
      <w:tr w:rsidR="00C343A3" w:rsidRPr="00C343A3" w:rsidTr="00C343A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黄埔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-50%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6%</w:t>
            </w:r>
          </w:p>
        </w:tc>
      </w:tr>
      <w:tr w:rsidR="00C343A3" w:rsidRPr="00C343A3" w:rsidTr="00C343A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中心六区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-54%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3%</w:t>
            </w:r>
          </w:p>
        </w:tc>
      </w:tr>
      <w:tr w:rsidR="00C343A3" w:rsidRPr="00C343A3" w:rsidTr="00C343A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花都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0.75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-90%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-34%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-2%</w:t>
            </w:r>
          </w:p>
        </w:tc>
      </w:tr>
      <w:tr w:rsidR="00C343A3" w:rsidRPr="00C343A3" w:rsidTr="00C343A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番禺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-36%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5%</w:t>
            </w:r>
          </w:p>
        </w:tc>
      </w:tr>
      <w:tr w:rsidR="00C343A3" w:rsidRPr="00C343A3" w:rsidTr="00C343A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南沙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3.71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-28%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-29%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2%</w:t>
            </w:r>
          </w:p>
        </w:tc>
      </w:tr>
      <w:tr w:rsidR="00C343A3" w:rsidRPr="00C343A3" w:rsidTr="00C343A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从化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-29%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6%</w:t>
            </w:r>
          </w:p>
        </w:tc>
      </w:tr>
      <w:tr w:rsidR="00C343A3" w:rsidRPr="00C343A3" w:rsidTr="00C343A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增城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-94%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-47%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3%</w:t>
            </w:r>
          </w:p>
        </w:tc>
      </w:tr>
      <w:tr w:rsidR="00C343A3" w:rsidRPr="00C343A3" w:rsidTr="00C343A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外围五区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5.36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-88%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-38%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3%</w:t>
            </w:r>
          </w:p>
        </w:tc>
      </w:tr>
      <w:tr w:rsidR="00C343A3" w:rsidRPr="00C343A3" w:rsidTr="00C343A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全市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5.36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-90%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-42%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0%</w:t>
            </w:r>
          </w:p>
        </w:tc>
      </w:tr>
      <w:tr w:rsidR="00C343A3" w:rsidRPr="00C343A3" w:rsidTr="00C343A3">
        <w:trPr>
          <w:trHeight w:val="270"/>
        </w:trPr>
        <w:tc>
          <w:tcPr>
            <w:tcW w:w="8196" w:type="dxa"/>
            <w:gridSpan w:val="7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A3" w:rsidRPr="00C343A3" w:rsidRDefault="00C343A3" w:rsidP="00C34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数据来源：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广州</w:t>
            </w: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中原研究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发展</w:t>
            </w:r>
            <w:r w:rsidRPr="00C343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部，上月26日-本月25日</w:t>
            </w:r>
          </w:p>
        </w:tc>
      </w:tr>
    </w:tbl>
    <w:p w:rsidR="00C343A3" w:rsidRPr="00C343A3" w:rsidRDefault="00AA1B1A" w:rsidP="00AA1B1A">
      <w:pPr>
        <w:spacing w:beforeLines="50" w:before="156" w:line="30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供应方面如前所述，整个月仅发出了三张预售证，分别位于花都、南沙以及增城，而其他各区供应为零。</w:t>
      </w:r>
    </w:p>
    <w:p w:rsidR="001C1DFC" w:rsidRDefault="00AA1B1A" w:rsidP="001C1DFC">
      <w:pPr>
        <w:spacing w:beforeLines="50" w:before="156" w:line="30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成交方面，中心区网签量减少幅度较外围区更明显</w:t>
      </w:r>
      <w:r w:rsidR="008741E7">
        <w:rPr>
          <w:rFonts w:ascii="宋体" w:hAnsi="宋体" w:hint="eastAsia"/>
        </w:rPr>
        <w:t>。</w:t>
      </w:r>
      <w:r>
        <w:rPr>
          <w:rFonts w:ascii="宋体" w:hAnsi="宋体" w:hint="eastAsia"/>
        </w:rPr>
        <w:t>成交大户的黄埔，2月网签</w:t>
      </w:r>
      <w:r w:rsidR="008741E7">
        <w:rPr>
          <w:rFonts w:ascii="宋体" w:hAnsi="宋体" w:hint="eastAsia"/>
        </w:rPr>
        <w:t>面积</w:t>
      </w:r>
      <w:r>
        <w:rPr>
          <w:rFonts w:ascii="宋体" w:hAnsi="宋体" w:hint="eastAsia"/>
        </w:rPr>
        <w:t>也未上两位数，全市仅有增城仍有两位数的成交</w:t>
      </w:r>
      <w:r w:rsidR="008741E7">
        <w:rPr>
          <w:rFonts w:ascii="宋体" w:hAnsi="宋体" w:hint="eastAsia"/>
        </w:rPr>
        <w:t>量</w:t>
      </w:r>
      <w:r>
        <w:rPr>
          <w:rFonts w:ascii="宋体" w:hAnsi="宋体" w:hint="eastAsia"/>
        </w:rPr>
        <w:t>。</w:t>
      </w:r>
      <w:r w:rsidR="008741E7">
        <w:rPr>
          <w:rFonts w:ascii="宋体" w:hAnsi="宋体" w:hint="eastAsia"/>
        </w:rPr>
        <w:t>不过，花都、南沙的成交量均高于黄埔，分别在南沙的阳光城丽景湾，以及花都的广州万达文化旅游城两个大盘网签带动下，推高区域网签量。而黄埔实际上从1月起已经提前启动了春节模式，所以成交量减少明显。</w:t>
      </w:r>
    </w:p>
    <w:p w:rsidR="001C1DFC" w:rsidRPr="001C1DFC" w:rsidRDefault="001C1DFC" w:rsidP="001C1DFC">
      <w:pPr>
        <w:pStyle w:val="a5"/>
        <w:keepNext/>
        <w:spacing w:beforeLines="50" w:before="156"/>
        <w:jc w:val="center"/>
        <w:rPr>
          <w:rFonts w:ascii="宋体" w:eastAsia="宋体" w:hAnsi="宋体"/>
          <w:b/>
          <w:color w:val="C00000"/>
          <w:sz w:val="18"/>
          <w:szCs w:val="18"/>
        </w:rPr>
      </w:pPr>
      <w:r w:rsidRPr="001C1DFC">
        <w:rPr>
          <w:rFonts w:ascii="宋体" w:eastAsia="宋体" w:hAnsi="宋体" w:hint="eastAsia"/>
          <w:b/>
          <w:color w:val="C00000"/>
          <w:sz w:val="18"/>
          <w:szCs w:val="18"/>
        </w:rPr>
        <w:t xml:space="preserve">图表 </w:t>
      </w:r>
      <w:r w:rsidRPr="001C1DFC">
        <w:rPr>
          <w:rFonts w:ascii="宋体" w:eastAsia="宋体" w:hAnsi="宋体"/>
          <w:b/>
          <w:color w:val="C00000"/>
          <w:sz w:val="18"/>
          <w:szCs w:val="18"/>
        </w:rPr>
        <w:fldChar w:fldCharType="begin"/>
      </w:r>
      <w:r w:rsidRPr="001C1DFC">
        <w:rPr>
          <w:rFonts w:ascii="宋体" w:eastAsia="宋体" w:hAnsi="宋体"/>
          <w:b/>
          <w:color w:val="C00000"/>
          <w:sz w:val="18"/>
          <w:szCs w:val="18"/>
        </w:rPr>
        <w:instrText xml:space="preserve"> </w:instrText>
      </w:r>
      <w:r w:rsidRPr="001C1DFC">
        <w:rPr>
          <w:rFonts w:ascii="宋体" w:eastAsia="宋体" w:hAnsi="宋体" w:hint="eastAsia"/>
          <w:b/>
          <w:color w:val="C00000"/>
          <w:sz w:val="18"/>
          <w:szCs w:val="18"/>
        </w:rPr>
        <w:instrText>SEQ 图表 \* ARABIC</w:instrText>
      </w:r>
      <w:r w:rsidRPr="001C1DFC">
        <w:rPr>
          <w:rFonts w:ascii="宋体" w:eastAsia="宋体" w:hAnsi="宋体"/>
          <w:b/>
          <w:color w:val="C00000"/>
          <w:sz w:val="18"/>
          <w:szCs w:val="18"/>
        </w:rPr>
        <w:instrText xml:space="preserve"> </w:instrText>
      </w:r>
      <w:r w:rsidRPr="001C1DFC">
        <w:rPr>
          <w:rFonts w:ascii="宋体" w:eastAsia="宋体" w:hAnsi="宋体"/>
          <w:b/>
          <w:color w:val="C00000"/>
          <w:sz w:val="18"/>
          <w:szCs w:val="18"/>
        </w:rPr>
        <w:fldChar w:fldCharType="separate"/>
      </w:r>
      <w:r w:rsidR="00C343A3">
        <w:rPr>
          <w:rFonts w:ascii="宋体" w:eastAsia="宋体" w:hAnsi="宋体"/>
          <w:b/>
          <w:noProof/>
          <w:color w:val="C00000"/>
          <w:sz w:val="18"/>
          <w:szCs w:val="18"/>
        </w:rPr>
        <w:t>7</w:t>
      </w:r>
      <w:r w:rsidRPr="001C1DFC">
        <w:rPr>
          <w:rFonts w:ascii="宋体" w:eastAsia="宋体" w:hAnsi="宋体"/>
          <w:b/>
          <w:color w:val="C00000"/>
          <w:sz w:val="18"/>
          <w:szCs w:val="18"/>
        </w:rPr>
        <w:fldChar w:fldCharType="end"/>
      </w:r>
      <w:r w:rsidRPr="001C1DFC">
        <w:rPr>
          <w:rFonts w:ascii="宋体" w:eastAsia="宋体" w:hAnsi="宋体" w:hint="eastAsia"/>
          <w:b/>
          <w:color w:val="C00000"/>
          <w:sz w:val="18"/>
          <w:szCs w:val="18"/>
        </w:rPr>
        <w:t xml:space="preserve">  2017年</w:t>
      </w:r>
      <w:r w:rsidR="00AA1B1A">
        <w:rPr>
          <w:rFonts w:ascii="宋体" w:eastAsia="宋体" w:hAnsi="宋体" w:hint="eastAsia"/>
          <w:b/>
          <w:color w:val="C00000"/>
          <w:sz w:val="18"/>
          <w:szCs w:val="18"/>
        </w:rPr>
        <w:t>2</w:t>
      </w:r>
      <w:r w:rsidRPr="001C1DFC">
        <w:rPr>
          <w:rFonts w:ascii="宋体" w:eastAsia="宋体" w:hAnsi="宋体" w:hint="eastAsia"/>
          <w:b/>
          <w:color w:val="C00000"/>
          <w:sz w:val="18"/>
          <w:szCs w:val="18"/>
        </w:rPr>
        <w:t>月广州一手住宅网签宗数TOP10</w:t>
      </w:r>
    </w:p>
    <w:tbl>
      <w:tblPr>
        <w:tblW w:w="7886" w:type="dxa"/>
        <w:jc w:val="center"/>
        <w:tblInd w:w="108" w:type="dxa"/>
        <w:tblLook w:val="04A0" w:firstRow="1" w:lastRow="0" w:firstColumn="1" w:lastColumn="0" w:noHBand="0" w:noVBand="1"/>
      </w:tblPr>
      <w:tblGrid>
        <w:gridCol w:w="798"/>
        <w:gridCol w:w="2196"/>
        <w:gridCol w:w="798"/>
        <w:gridCol w:w="798"/>
        <w:gridCol w:w="1200"/>
        <w:gridCol w:w="1200"/>
        <w:gridCol w:w="896"/>
      </w:tblGrid>
      <w:tr w:rsidR="001C1DFC" w:rsidRPr="001C1DFC" w:rsidTr="001C1DFC">
        <w:trPr>
          <w:trHeight w:val="270"/>
          <w:jc w:val="center"/>
        </w:trPr>
        <w:tc>
          <w:tcPr>
            <w:tcW w:w="798" w:type="dxa"/>
            <w:vMerge w:val="restar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1C1DFC" w:rsidRPr="001C1DFC" w:rsidRDefault="001C1DFC" w:rsidP="001C1D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C1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2196" w:type="dxa"/>
            <w:vMerge w:val="restar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1C1DFC" w:rsidRPr="001C1DFC" w:rsidRDefault="001C1DFC" w:rsidP="001C1D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C1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楼盘</w:t>
            </w:r>
          </w:p>
        </w:tc>
        <w:tc>
          <w:tcPr>
            <w:tcW w:w="798" w:type="dxa"/>
            <w:vMerge w:val="restar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1C1DFC" w:rsidRPr="001C1DFC" w:rsidRDefault="001C1DFC" w:rsidP="001C1D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C1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区域</w:t>
            </w:r>
          </w:p>
        </w:tc>
        <w:tc>
          <w:tcPr>
            <w:tcW w:w="798" w:type="dxa"/>
            <w:vMerge w:val="restar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1C1DFC" w:rsidRDefault="001C1DFC" w:rsidP="001C1D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C1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网签</w:t>
            </w:r>
          </w:p>
          <w:p w:rsidR="001C1DFC" w:rsidRPr="001C1DFC" w:rsidRDefault="001C1DFC" w:rsidP="001C1D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C1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宗数</w:t>
            </w:r>
          </w:p>
        </w:tc>
        <w:tc>
          <w:tcPr>
            <w:tcW w:w="120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DFC" w:rsidRPr="001C1DFC" w:rsidRDefault="001C1DFC" w:rsidP="001C1D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C1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网签面积</w:t>
            </w:r>
          </w:p>
        </w:tc>
        <w:tc>
          <w:tcPr>
            <w:tcW w:w="120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DFC" w:rsidRPr="001C1DFC" w:rsidRDefault="001C1DFC" w:rsidP="001C1D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C1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网签均价</w:t>
            </w:r>
          </w:p>
        </w:tc>
        <w:tc>
          <w:tcPr>
            <w:tcW w:w="896" w:type="dxa"/>
            <w:vMerge w:val="restar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:rsidR="001C1DFC" w:rsidRPr="001C1DFC" w:rsidRDefault="001C1DFC" w:rsidP="001C1D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C1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环比</w:t>
            </w:r>
          </w:p>
        </w:tc>
      </w:tr>
      <w:tr w:rsidR="001C1DFC" w:rsidRPr="001C1DFC" w:rsidTr="001C1DFC">
        <w:trPr>
          <w:trHeight w:val="285"/>
          <w:jc w:val="center"/>
        </w:trPr>
        <w:tc>
          <w:tcPr>
            <w:tcW w:w="798" w:type="dxa"/>
            <w:vMerge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1C1DFC" w:rsidRPr="001C1DFC" w:rsidRDefault="001C1DFC" w:rsidP="001C1D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1C1DFC" w:rsidRPr="001C1DFC" w:rsidRDefault="001C1DFC" w:rsidP="001C1D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1C1DFC" w:rsidRPr="001C1DFC" w:rsidRDefault="001C1DFC" w:rsidP="001C1D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1C1DFC" w:rsidRPr="001C1DFC" w:rsidRDefault="001C1DFC" w:rsidP="001C1D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:rsidR="001C1DFC" w:rsidRPr="001C1DFC" w:rsidRDefault="001C1DFC" w:rsidP="001C1D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C1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万㎡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:rsidR="001C1DFC" w:rsidRPr="001C1DFC" w:rsidRDefault="001C1DFC" w:rsidP="001C1D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C1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元/㎡</w:t>
            </w:r>
          </w:p>
        </w:tc>
        <w:tc>
          <w:tcPr>
            <w:tcW w:w="896" w:type="dxa"/>
            <w:vMerge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1C1DFC" w:rsidRPr="001C1DFC" w:rsidRDefault="001C1DFC" w:rsidP="001C1D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A1B1A" w:rsidRPr="001C1DFC" w:rsidTr="001C1DFC">
        <w:trPr>
          <w:trHeight w:val="270"/>
          <w:jc w:val="center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祈福缤纷汇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番禺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23606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10.0%</w:t>
            </w:r>
          </w:p>
        </w:tc>
      </w:tr>
      <w:tr w:rsidR="00AA1B1A" w:rsidRPr="001C1DFC" w:rsidTr="001C1DFC">
        <w:trPr>
          <w:trHeight w:val="270"/>
          <w:jc w:val="center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阳光城丽景湾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9520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-16.5%</w:t>
            </w:r>
          </w:p>
        </w:tc>
      </w:tr>
      <w:tr w:rsidR="00AA1B1A" w:rsidRPr="001C1DFC" w:rsidTr="001C1DFC">
        <w:trPr>
          <w:trHeight w:val="270"/>
          <w:jc w:val="center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广州亚运城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番禺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18796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-0.2%</w:t>
            </w:r>
          </w:p>
        </w:tc>
      </w:tr>
      <w:tr w:rsidR="00AA1B1A" w:rsidRPr="001C1DFC" w:rsidTr="001C1DFC">
        <w:trPr>
          <w:trHeight w:val="270"/>
          <w:jc w:val="center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好美华庭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花都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</w:tr>
      <w:tr w:rsidR="00AA1B1A" w:rsidRPr="001C1DFC" w:rsidTr="001C1DFC">
        <w:trPr>
          <w:trHeight w:val="270"/>
          <w:jc w:val="center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碧桂园水岸花园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增城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0.0%</w:t>
            </w:r>
          </w:p>
        </w:tc>
      </w:tr>
      <w:tr w:rsidR="00AA1B1A" w:rsidRPr="001C1DFC" w:rsidTr="001C1DFC">
        <w:trPr>
          <w:trHeight w:val="270"/>
          <w:jc w:val="center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汇景花园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增城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726B5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</w:tr>
      <w:tr w:rsidR="00AA1B1A" w:rsidRPr="001C1DFC" w:rsidTr="001C1DFC">
        <w:trPr>
          <w:trHeight w:val="270"/>
          <w:jc w:val="center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广州万达文化旅游城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花都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15978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1.8%</w:t>
            </w:r>
          </w:p>
        </w:tc>
      </w:tr>
      <w:tr w:rsidR="00AA1B1A" w:rsidRPr="001C1DFC" w:rsidTr="001C1DFC">
        <w:trPr>
          <w:trHeight w:val="270"/>
          <w:jc w:val="center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珠光御景山水城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从化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8648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9.7%</w:t>
            </w:r>
          </w:p>
        </w:tc>
      </w:tr>
      <w:tr w:rsidR="00AA1B1A" w:rsidRPr="001C1DFC" w:rsidTr="001C1DFC">
        <w:trPr>
          <w:trHeight w:val="270"/>
          <w:jc w:val="center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金地香山湖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增城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11115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-0.8%</w:t>
            </w:r>
          </w:p>
        </w:tc>
      </w:tr>
      <w:tr w:rsidR="00AA1B1A" w:rsidRPr="001C1DFC" w:rsidTr="001C1DFC">
        <w:trPr>
          <w:trHeight w:val="285"/>
          <w:jc w:val="center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雅居乐万科热橙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花都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10658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1A" w:rsidRDefault="00AA1B1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5.9%</w:t>
            </w:r>
          </w:p>
        </w:tc>
      </w:tr>
      <w:tr w:rsidR="001C1DFC" w:rsidRPr="001C1DFC" w:rsidTr="001C1DFC">
        <w:trPr>
          <w:trHeight w:val="270"/>
          <w:jc w:val="center"/>
        </w:trPr>
        <w:tc>
          <w:tcPr>
            <w:tcW w:w="7886" w:type="dxa"/>
            <w:gridSpan w:val="7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DFC" w:rsidRPr="001C1DFC" w:rsidRDefault="001C1DFC" w:rsidP="00A1502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C1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数据来源：</w:t>
            </w:r>
            <w:r w:rsidR="004F57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广州</w:t>
            </w:r>
            <w:r w:rsidRPr="001C1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中原研究</w:t>
            </w:r>
            <w:r w:rsidR="00A150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发展部</w:t>
            </w:r>
            <w:r w:rsidRPr="001C1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，上月26日-本月25日</w:t>
            </w:r>
          </w:p>
        </w:tc>
      </w:tr>
    </w:tbl>
    <w:p w:rsidR="008370DE" w:rsidRDefault="008370DE" w:rsidP="008370DE">
      <w:pPr>
        <w:pStyle w:val="2"/>
        <w:spacing w:beforeLines="50" w:before="156" w:after="0" w:line="300" w:lineRule="auto"/>
        <w:rPr>
          <w:rFonts w:ascii="宋体" w:eastAsia="宋体" w:hAnsi="宋体"/>
          <w:color w:val="C00000"/>
          <w:sz w:val="22"/>
          <w:szCs w:val="22"/>
        </w:rPr>
      </w:pPr>
      <w:r w:rsidRPr="008370DE">
        <w:rPr>
          <w:rFonts w:ascii="宋体" w:eastAsia="宋体" w:hAnsi="宋体" w:hint="eastAsia"/>
          <w:color w:val="C00000"/>
          <w:sz w:val="22"/>
          <w:szCs w:val="22"/>
        </w:rPr>
        <w:t>【后市预期】</w:t>
      </w:r>
      <w:r w:rsidR="00EB4424">
        <w:rPr>
          <w:rFonts w:ascii="宋体" w:eastAsia="宋体" w:hAnsi="宋体" w:hint="eastAsia"/>
          <w:color w:val="C00000"/>
          <w:sz w:val="22"/>
          <w:szCs w:val="22"/>
        </w:rPr>
        <w:t>市场吸纳力强劲，无</w:t>
      </w:r>
      <w:r w:rsidR="00726B52">
        <w:rPr>
          <w:rFonts w:ascii="宋体" w:eastAsia="宋体" w:hAnsi="宋体" w:hint="eastAsia"/>
          <w:color w:val="C00000"/>
          <w:sz w:val="22"/>
          <w:szCs w:val="22"/>
        </w:rPr>
        <w:t>奈</w:t>
      </w:r>
      <w:r w:rsidR="00EB4424">
        <w:rPr>
          <w:rFonts w:ascii="宋体" w:eastAsia="宋体" w:hAnsi="宋体" w:hint="eastAsia"/>
          <w:color w:val="C00000"/>
          <w:sz w:val="22"/>
          <w:szCs w:val="22"/>
        </w:rPr>
        <w:t>供应受限</w:t>
      </w:r>
    </w:p>
    <w:p w:rsidR="008370DE" w:rsidRPr="008370DE" w:rsidRDefault="008741E7" w:rsidP="00581A2F">
      <w:pPr>
        <w:spacing w:beforeLines="50" w:before="156" w:line="30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结合上述的市场成交情况，不难判断市场需求仍然很强劲</w:t>
      </w:r>
      <w:r w:rsidR="00132408">
        <w:rPr>
          <w:rFonts w:ascii="宋体" w:hAnsi="宋体" w:hint="eastAsia"/>
        </w:rPr>
        <w:t>。</w:t>
      </w:r>
      <w:r>
        <w:rPr>
          <w:rFonts w:ascii="宋体" w:hAnsi="宋体" w:hint="eastAsia"/>
        </w:rPr>
        <w:t>无奈的是，供应侧的速度远远未能跟上消化，</w:t>
      </w:r>
      <w:r w:rsidR="00EB4424">
        <w:rPr>
          <w:rFonts w:ascii="宋体" w:hAnsi="宋体" w:hint="eastAsia"/>
        </w:rPr>
        <w:t>一方面有可开发储备减少，另一方面也有去年消化过快而余货不多的情况，因此，不同的开发商正采取不同的策略以应对市场的变化，一部分手上存货不多而且待开发的储备少的开发商，会适当放缓自己的推货节奏</w:t>
      </w:r>
      <w:r w:rsidR="00CB6A04">
        <w:rPr>
          <w:rFonts w:ascii="宋体" w:hAnsi="宋体" w:hint="eastAsia"/>
        </w:rPr>
        <w:t>；</w:t>
      </w:r>
      <w:r w:rsidR="00EB4424">
        <w:rPr>
          <w:rFonts w:ascii="宋体" w:hAnsi="宋体" w:hint="eastAsia"/>
        </w:rPr>
        <w:t>而对于存货不足但是仍有储备可待开发的</w:t>
      </w:r>
      <w:r w:rsidR="00CB6A04">
        <w:rPr>
          <w:rFonts w:ascii="宋体" w:hAnsi="宋体" w:hint="eastAsia"/>
        </w:rPr>
        <w:t>，</w:t>
      </w:r>
      <w:r w:rsidR="00EB4424">
        <w:rPr>
          <w:rFonts w:ascii="宋体" w:hAnsi="宋体" w:hint="eastAsia"/>
        </w:rPr>
        <w:t>会考虑到去年拿地而来的资金压力，以及现今融资更难的情况，而考虑一边加快去货，另一边加快开发；再者也有一部分手头货量尚有盈余，但也会考虑资金压力而加快去化。不过虽然开发商有不同的策略，但由近期的预售证审批速度来看，开发商实际上仍</w:t>
      </w:r>
      <w:r w:rsidR="00CB6A04">
        <w:rPr>
          <w:rFonts w:ascii="宋体" w:hAnsi="宋体" w:hint="eastAsia"/>
        </w:rPr>
        <w:t>会</w:t>
      </w:r>
      <w:r w:rsidR="00EB4424">
        <w:rPr>
          <w:rFonts w:ascii="宋体" w:hAnsi="宋体" w:hint="eastAsia"/>
        </w:rPr>
        <w:t>处于</w:t>
      </w:r>
      <w:r w:rsidR="00CB6A04">
        <w:rPr>
          <w:rFonts w:ascii="宋体" w:hAnsi="宋体" w:hint="eastAsia"/>
        </w:rPr>
        <w:t>较</w:t>
      </w:r>
      <w:r w:rsidR="00EB4424">
        <w:rPr>
          <w:rFonts w:ascii="宋体" w:hAnsi="宋体" w:hint="eastAsia"/>
        </w:rPr>
        <w:t>被动的状态。</w:t>
      </w:r>
    </w:p>
    <w:p w:rsidR="00CA40EC" w:rsidRDefault="0092447F" w:rsidP="00CA40EC">
      <w:pPr>
        <w:spacing w:beforeLines="50" w:before="156" w:line="276" w:lineRule="auto"/>
        <w:ind w:firstLineChars="200" w:firstLine="420"/>
        <w:jc w:val="right"/>
      </w:pPr>
      <w:r>
        <w:rPr>
          <w:rFonts w:hint="eastAsia"/>
        </w:rPr>
        <w:t>广州</w:t>
      </w:r>
      <w:r w:rsidR="00CA40EC">
        <w:rPr>
          <w:rFonts w:hint="eastAsia"/>
        </w:rPr>
        <w:t>中原研究</w:t>
      </w:r>
      <w:r w:rsidR="00051B70">
        <w:rPr>
          <w:rFonts w:hint="eastAsia"/>
        </w:rPr>
        <w:t>发展</w:t>
      </w:r>
      <w:bookmarkStart w:id="0" w:name="_GoBack"/>
      <w:bookmarkEnd w:id="0"/>
      <w:r w:rsidR="00CA40EC">
        <w:rPr>
          <w:rFonts w:hint="eastAsia"/>
        </w:rPr>
        <w:t>部</w:t>
      </w:r>
    </w:p>
    <w:p w:rsidR="00CA40EC" w:rsidRPr="00F71089" w:rsidRDefault="00132408" w:rsidP="00CA40EC">
      <w:pPr>
        <w:spacing w:beforeLines="50" w:before="156" w:line="276" w:lineRule="auto"/>
        <w:ind w:firstLineChars="200" w:firstLine="420"/>
        <w:jc w:val="right"/>
      </w:pPr>
      <w:r>
        <w:rPr>
          <w:rFonts w:hint="eastAsia"/>
        </w:rPr>
        <w:t>2017-</w:t>
      </w:r>
      <w:r w:rsidR="00CB6A04">
        <w:rPr>
          <w:rFonts w:hint="eastAsia"/>
        </w:rPr>
        <w:t>3-1</w:t>
      </w:r>
    </w:p>
    <w:sectPr w:rsidR="00CA40EC" w:rsidRPr="00F71089" w:rsidSect="008973E9">
      <w:headerReference w:type="default" r:id="rId11"/>
      <w:footerReference w:type="default" r:id="rId12"/>
      <w:pgSz w:w="11906" w:h="16838"/>
      <w:pgMar w:top="128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26" w:rsidRDefault="00CE2626" w:rsidP="006A0990">
      <w:r>
        <w:separator/>
      </w:r>
    </w:p>
  </w:endnote>
  <w:endnote w:type="continuationSeparator" w:id="0">
    <w:p w:rsidR="00CE2626" w:rsidRDefault="00CE2626" w:rsidP="006A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A6" w:rsidRDefault="004824A6">
    <w:pPr>
      <w:pStyle w:val="a4"/>
    </w:pPr>
    <w:r w:rsidRPr="00CF06F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F9DE4A" wp14:editId="69D15C93">
              <wp:simplePos x="0" y="0"/>
              <wp:positionH relativeFrom="column">
                <wp:posOffset>-9525</wp:posOffset>
              </wp:positionH>
              <wp:positionV relativeFrom="paragraph">
                <wp:posOffset>-140335</wp:posOffset>
              </wp:positionV>
              <wp:extent cx="5276850" cy="0"/>
              <wp:effectExtent l="0" t="0" r="19050" b="1905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76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接连接符 1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-11.05pt" to="414.7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" strokecolor="#c00000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26" w:rsidRDefault="00CE2626" w:rsidP="006A0990">
      <w:r>
        <w:separator/>
      </w:r>
    </w:p>
  </w:footnote>
  <w:footnote w:type="continuationSeparator" w:id="0">
    <w:p w:rsidR="00CE2626" w:rsidRDefault="00CE2626" w:rsidP="006A0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A6" w:rsidRDefault="004824A6" w:rsidP="00CF06FD">
    <w:pPr>
      <w:pStyle w:val="a3"/>
      <w:pBdr>
        <w:bottom w:val="single" w:sz="6" w:space="18" w:color="auto"/>
      </w:pBdr>
    </w:pPr>
    <w:r w:rsidRPr="00CF06FD">
      <w:rPr>
        <w:noProof/>
      </w:rPr>
      <w:drawing>
        <wp:anchor distT="0" distB="0" distL="114300" distR="114300" simplePos="0" relativeHeight="251659264" behindDoc="0" locked="1" layoutInCell="1" allowOverlap="1" wp14:anchorId="45F70B49" wp14:editId="3178CA69">
          <wp:simplePos x="0" y="0"/>
          <wp:positionH relativeFrom="column">
            <wp:posOffset>38735</wp:posOffset>
          </wp:positionH>
          <wp:positionV relativeFrom="paragraph">
            <wp:posOffset>-31750</wp:posOffset>
          </wp:positionV>
          <wp:extent cx="1129665" cy="369570"/>
          <wp:effectExtent l="0" t="0" r="0" b="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aline-Logo-2010-(简体版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13A"/>
    <w:multiLevelType w:val="hybridMultilevel"/>
    <w:tmpl w:val="601C9E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9D5709"/>
    <w:multiLevelType w:val="hybridMultilevel"/>
    <w:tmpl w:val="B448C6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B50A4C"/>
    <w:multiLevelType w:val="hybridMultilevel"/>
    <w:tmpl w:val="7F8C7F46"/>
    <w:lvl w:ilvl="0" w:tplc="03788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0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29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01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6D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C4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42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E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6D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9D0734"/>
    <w:multiLevelType w:val="hybridMultilevel"/>
    <w:tmpl w:val="329E5FDC"/>
    <w:lvl w:ilvl="0" w:tplc="E6AE4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0B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44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08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2D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09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2E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6E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67331D"/>
    <w:multiLevelType w:val="hybridMultilevel"/>
    <w:tmpl w:val="43FC78D8"/>
    <w:lvl w:ilvl="0" w:tplc="9580D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60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2A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C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A0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CE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C9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0D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43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6A3382"/>
    <w:multiLevelType w:val="hybridMultilevel"/>
    <w:tmpl w:val="67F83084"/>
    <w:lvl w:ilvl="0" w:tplc="8110C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C8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CF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4A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08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C5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60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23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CA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475057"/>
    <w:multiLevelType w:val="hybridMultilevel"/>
    <w:tmpl w:val="BC92D358"/>
    <w:lvl w:ilvl="0" w:tplc="65CEE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E2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0C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26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E7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E8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89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41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C0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C85C30"/>
    <w:multiLevelType w:val="hybridMultilevel"/>
    <w:tmpl w:val="F0B610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8">
    <w:nsid w:val="40303A94"/>
    <w:multiLevelType w:val="hybridMultilevel"/>
    <w:tmpl w:val="E2B27600"/>
    <w:lvl w:ilvl="0" w:tplc="5E7C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06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04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82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8A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6A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CB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CA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04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BE63ED"/>
    <w:multiLevelType w:val="hybridMultilevel"/>
    <w:tmpl w:val="78D052AC"/>
    <w:lvl w:ilvl="0" w:tplc="F00450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024467B"/>
    <w:multiLevelType w:val="hybridMultilevel"/>
    <w:tmpl w:val="63203CCA"/>
    <w:lvl w:ilvl="0" w:tplc="9022F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2E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ED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64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09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87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A4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4F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28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B0385F"/>
    <w:multiLevelType w:val="hybridMultilevel"/>
    <w:tmpl w:val="C2221868"/>
    <w:lvl w:ilvl="0" w:tplc="AC34B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44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E2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45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C0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04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E4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85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01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0450F1"/>
    <w:multiLevelType w:val="hybridMultilevel"/>
    <w:tmpl w:val="F9E468E8"/>
    <w:lvl w:ilvl="0" w:tplc="EFF88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61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C1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64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4C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4E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40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49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CC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2D84CBA"/>
    <w:multiLevelType w:val="hybridMultilevel"/>
    <w:tmpl w:val="64626A7C"/>
    <w:lvl w:ilvl="0" w:tplc="78886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4E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87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ED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67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4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CB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64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A7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3266FFA"/>
    <w:multiLevelType w:val="hybridMultilevel"/>
    <w:tmpl w:val="46E2C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401379A"/>
    <w:multiLevelType w:val="hybridMultilevel"/>
    <w:tmpl w:val="83E46AF2"/>
    <w:lvl w:ilvl="0" w:tplc="44C22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C7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EE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E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B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06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67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27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6B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15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2"/>
  </w:num>
  <w:num w:numId="13">
    <w:abstractNumId w:val="6"/>
  </w:num>
  <w:num w:numId="14">
    <w:abstractNumId w:val="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42"/>
    <w:rsid w:val="00002657"/>
    <w:rsid w:val="0000440C"/>
    <w:rsid w:val="0002238A"/>
    <w:rsid w:val="0003303D"/>
    <w:rsid w:val="00035A00"/>
    <w:rsid w:val="00035FD4"/>
    <w:rsid w:val="000374C6"/>
    <w:rsid w:val="00037FCB"/>
    <w:rsid w:val="0004488C"/>
    <w:rsid w:val="00045CBD"/>
    <w:rsid w:val="00050B7D"/>
    <w:rsid w:val="00051B70"/>
    <w:rsid w:val="00051F60"/>
    <w:rsid w:val="000626DF"/>
    <w:rsid w:val="000705FF"/>
    <w:rsid w:val="00070862"/>
    <w:rsid w:val="00083876"/>
    <w:rsid w:val="00091FC1"/>
    <w:rsid w:val="00092140"/>
    <w:rsid w:val="00096AE3"/>
    <w:rsid w:val="000A268F"/>
    <w:rsid w:val="000A2B77"/>
    <w:rsid w:val="000B6FA6"/>
    <w:rsid w:val="000C0325"/>
    <w:rsid w:val="000E04FD"/>
    <w:rsid w:val="000E3B9C"/>
    <w:rsid w:val="000F23BE"/>
    <w:rsid w:val="000F5B83"/>
    <w:rsid w:val="000F681E"/>
    <w:rsid w:val="00111D27"/>
    <w:rsid w:val="00115DEE"/>
    <w:rsid w:val="001209DB"/>
    <w:rsid w:val="00121188"/>
    <w:rsid w:val="00132408"/>
    <w:rsid w:val="001446FC"/>
    <w:rsid w:val="00156F8F"/>
    <w:rsid w:val="0016110B"/>
    <w:rsid w:val="00173A8A"/>
    <w:rsid w:val="001802F8"/>
    <w:rsid w:val="00187FFE"/>
    <w:rsid w:val="001A1152"/>
    <w:rsid w:val="001B1570"/>
    <w:rsid w:val="001C1DFC"/>
    <w:rsid w:val="001D5C70"/>
    <w:rsid w:val="001F1E15"/>
    <w:rsid w:val="001F2350"/>
    <w:rsid w:val="00201FC5"/>
    <w:rsid w:val="0020256C"/>
    <w:rsid w:val="00203136"/>
    <w:rsid w:val="00211242"/>
    <w:rsid w:val="0022160C"/>
    <w:rsid w:val="002254D9"/>
    <w:rsid w:val="00231863"/>
    <w:rsid w:val="00237D1F"/>
    <w:rsid w:val="00244BAD"/>
    <w:rsid w:val="002711D8"/>
    <w:rsid w:val="00276B37"/>
    <w:rsid w:val="00284D68"/>
    <w:rsid w:val="002913F6"/>
    <w:rsid w:val="002957B2"/>
    <w:rsid w:val="002965E2"/>
    <w:rsid w:val="00297832"/>
    <w:rsid w:val="002B7279"/>
    <w:rsid w:val="002C1D4F"/>
    <w:rsid w:val="002C5026"/>
    <w:rsid w:val="002C746F"/>
    <w:rsid w:val="002D16E4"/>
    <w:rsid w:val="002D1C0A"/>
    <w:rsid w:val="002E2A55"/>
    <w:rsid w:val="002F1BA6"/>
    <w:rsid w:val="002F5663"/>
    <w:rsid w:val="002F60A0"/>
    <w:rsid w:val="002F62FE"/>
    <w:rsid w:val="003354B1"/>
    <w:rsid w:val="00342145"/>
    <w:rsid w:val="00344F79"/>
    <w:rsid w:val="00352268"/>
    <w:rsid w:val="00366E35"/>
    <w:rsid w:val="00370F2E"/>
    <w:rsid w:val="00371292"/>
    <w:rsid w:val="00375741"/>
    <w:rsid w:val="00377449"/>
    <w:rsid w:val="00390FA6"/>
    <w:rsid w:val="00394092"/>
    <w:rsid w:val="003967D7"/>
    <w:rsid w:val="003A4B0C"/>
    <w:rsid w:val="003B0E60"/>
    <w:rsid w:val="003B48D1"/>
    <w:rsid w:val="003B5652"/>
    <w:rsid w:val="003C5B7D"/>
    <w:rsid w:val="003D1D22"/>
    <w:rsid w:val="003D41BD"/>
    <w:rsid w:val="003E02D4"/>
    <w:rsid w:val="003E24F2"/>
    <w:rsid w:val="003E4BA3"/>
    <w:rsid w:val="003E6DEB"/>
    <w:rsid w:val="004035C1"/>
    <w:rsid w:val="004062E0"/>
    <w:rsid w:val="004122A7"/>
    <w:rsid w:val="0042222B"/>
    <w:rsid w:val="004331DF"/>
    <w:rsid w:val="00440522"/>
    <w:rsid w:val="00443CDA"/>
    <w:rsid w:val="00452734"/>
    <w:rsid w:val="004527CA"/>
    <w:rsid w:val="00456188"/>
    <w:rsid w:val="0046716A"/>
    <w:rsid w:val="004736B2"/>
    <w:rsid w:val="0047597F"/>
    <w:rsid w:val="004824A6"/>
    <w:rsid w:val="004918E6"/>
    <w:rsid w:val="00495D55"/>
    <w:rsid w:val="004A301A"/>
    <w:rsid w:val="004B1C0B"/>
    <w:rsid w:val="004B2808"/>
    <w:rsid w:val="004C3471"/>
    <w:rsid w:val="004D24DD"/>
    <w:rsid w:val="004D278A"/>
    <w:rsid w:val="004D3C00"/>
    <w:rsid w:val="004D6DA5"/>
    <w:rsid w:val="004E531F"/>
    <w:rsid w:val="004F0498"/>
    <w:rsid w:val="004F57A5"/>
    <w:rsid w:val="00502457"/>
    <w:rsid w:val="0051567F"/>
    <w:rsid w:val="005310DE"/>
    <w:rsid w:val="005312CC"/>
    <w:rsid w:val="00532EF6"/>
    <w:rsid w:val="005350DC"/>
    <w:rsid w:val="00536FD5"/>
    <w:rsid w:val="00541D09"/>
    <w:rsid w:val="00564342"/>
    <w:rsid w:val="00567BC8"/>
    <w:rsid w:val="00576EE2"/>
    <w:rsid w:val="00581A2F"/>
    <w:rsid w:val="005A29D0"/>
    <w:rsid w:val="005A3E8C"/>
    <w:rsid w:val="005A717E"/>
    <w:rsid w:val="005B0FE1"/>
    <w:rsid w:val="005C1DA2"/>
    <w:rsid w:val="005C5ACD"/>
    <w:rsid w:val="005C7D1A"/>
    <w:rsid w:val="005D00D1"/>
    <w:rsid w:val="005D6B54"/>
    <w:rsid w:val="005E010D"/>
    <w:rsid w:val="005F4061"/>
    <w:rsid w:val="005F6AFF"/>
    <w:rsid w:val="006003B9"/>
    <w:rsid w:val="006115A3"/>
    <w:rsid w:val="006204F1"/>
    <w:rsid w:val="00621019"/>
    <w:rsid w:val="00622044"/>
    <w:rsid w:val="006302FE"/>
    <w:rsid w:val="006403F7"/>
    <w:rsid w:val="00641C13"/>
    <w:rsid w:val="0064654F"/>
    <w:rsid w:val="00646EC6"/>
    <w:rsid w:val="00653AB7"/>
    <w:rsid w:val="00653D74"/>
    <w:rsid w:val="006947A4"/>
    <w:rsid w:val="00694D4B"/>
    <w:rsid w:val="00697A3E"/>
    <w:rsid w:val="006A0990"/>
    <w:rsid w:val="006A73A5"/>
    <w:rsid w:val="006B0E52"/>
    <w:rsid w:val="006C3732"/>
    <w:rsid w:val="006E1947"/>
    <w:rsid w:val="006E1CDE"/>
    <w:rsid w:val="006E6B4F"/>
    <w:rsid w:val="006E6EEE"/>
    <w:rsid w:val="00715006"/>
    <w:rsid w:val="0072460E"/>
    <w:rsid w:val="00726B52"/>
    <w:rsid w:val="0074112A"/>
    <w:rsid w:val="00741B17"/>
    <w:rsid w:val="007445C4"/>
    <w:rsid w:val="007571BD"/>
    <w:rsid w:val="00763291"/>
    <w:rsid w:val="0077449C"/>
    <w:rsid w:val="007750F2"/>
    <w:rsid w:val="007959EA"/>
    <w:rsid w:val="007B0C78"/>
    <w:rsid w:val="007C10FD"/>
    <w:rsid w:val="007C265B"/>
    <w:rsid w:val="007C61E8"/>
    <w:rsid w:val="007D4711"/>
    <w:rsid w:val="007E7B8C"/>
    <w:rsid w:val="008011C4"/>
    <w:rsid w:val="008068CF"/>
    <w:rsid w:val="00813A0F"/>
    <w:rsid w:val="00814131"/>
    <w:rsid w:val="00824BA5"/>
    <w:rsid w:val="008370DE"/>
    <w:rsid w:val="008376E1"/>
    <w:rsid w:val="00841878"/>
    <w:rsid w:val="00856CEC"/>
    <w:rsid w:val="00865056"/>
    <w:rsid w:val="008741E7"/>
    <w:rsid w:val="00875946"/>
    <w:rsid w:val="008762C3"/>
    <w:rsid w:val="008763ED"/>
    <w:rsid w:val="008800B7"/>
    <w:rsid w:val="008857B8"/>
    <w:rsid w:val="00886039"/>
    <w:rsid w:val="008926F4"/>
    <w:rsid w:val="008948C9"/>
    <w:rsid w:val="008973E9"/>
    <w:rsid w:val="008B200A"/>
    <w:rsid w:val="00901531"/>
    <w:rsid w:val="00903EA6"/>
    <w:rsid w:val="00906D4C"/>
    <w:rsid w:val="009107BE"/>
    <w:rsid w:val="00914FEB"/>
    <w:rsid w:val="009160B9"/>
    <w:rsid w:val="0092447F"/>
    <w:rsid w:val="0092541B"/>
    <w:rsid w:val="00945FDE"/>
    <w:rsid w:val="009473D5"/>
    <w:rsid w:val="00960EA9"/>
    <w:rsid w:val="00965073"/>
    <w:rsid w:val="0096700A"/>
    <w:rsid w:val="00967E64"/>
    <w:rsid w:val="00973F64"/>
    <w:rsid w:val="00976172"/>
    <w:rsid w:val="00977ACD"/>
    <w:rsid w:val="00981302"/>
    <w:rsid w:val="009838F1"/>
    <w:rsid w:val="009917B3"/>
    <w:rsid w:val="009A0860"/>
    <w:rsid w:val="009A2F61"/>
    <w:rsid w:val="009A3762"/>
    <w:rsid w:val="009B177D"/>
    <w:rsid w:val="009B2822"/>
    <w:rsid w:val="009B7ACE"/>
    <w:rsid w:val="009F2709"/>
    <w:rsid w:val="009F44BF"/>
    <w:rsid w:val="00A0039E"/>
    <w:rsid w:val="00A060A3"/>
    <w:rsid w:val="00A15023"/>
    <w:rsid w:val="00A16DB0"/>
    <w:rsid w:val="00A26079"/>
    <w:rsid w:val="00A30D45"/>
    <w:rsid w:val="00A32C7E"/>
    <w:rsid w:val="00A40CAF"/>
    <w:rsid w:val="00A462B9"/>
    <w:rsid w:val="00A5626B"/>
    <w:rsid w:val="00A56C84"/>
    <w:rsid w:val="00A71525"/>
    <w:rsid w:val="00A71955"/>
    <w:rsid w:val="00A80830"/>
    <w:rsid w:val="00A8597E"/>
    <w:rsid w:val="00A919BE"/>
    <w:rsid w:val="00A921B5"/>
    <w:rsid w:val="00AA02E2"/>
    <w:rsid w:val="00AA0C7C"/>
    <w:rsid w:val="00AA1B1A"/>
    <w:rsid w:val="00AA61ED"/>
    <w:rsid w:val="00AA7402"/>
    <w:rsid w:val="00AB10CA"/>
    <w:rsid w:val="00AB637E"/>
    <w:rsid w:val="00AE24A1"/>
    <w:rsid w:val="00AF41B7"/>
    <w:rsid w:val="00B05766"/>
    <w:rsid w:val="00B0793C"/>
    <w:rsid w:val="00B17145"/>
    <w:rsid w:val="00B20468"/>
    <w:rsid w:val="00B26E28"/>
    <w:rsid w:val="00B30D83"/>
    <w:rsid w:val="00B50A70"/>
    <w:rsid w:val="00B6614A"/>
    <w:rsid w:val="00B766DF"/>
    <w:rsid w:val="00B95ED2"/>
    <w:rsid w:val="00BA0F0F"/>
    <w:rsid w:val="00BA2983"/>
    <w:rsid w:val="00BA5FF3"/>
    <w:rsid w:val="00BC3DDA"/>
    <w:rsid w:val="00BC3DE8"/>
    <w:rsid w:val="00BD5A2E"/>
    <w:rsid w:val="00BE025D"/>
    <w:rsid w:val="00BE57EA"/>
    <w:rsid w:val="00BE6950"/>
    <w:rsid w:val="00BE7795"/>
    <w:rsid w:val="00BF2108"/>
    <w:rsid w:val="00C13878"/>
    <w:rsid w:val="00C13AD2"/>
    <w:rsid w:val="00C14B58"/>
    <w:rsid w:val="00C164CC"/>
    <w:rsid w:val="00C203BD"/>
    <w:rsid w:val="00C20878"/>
    <w:rsid w:val="00C20DC2"/>
    <w:rsid w:val="00C252F4"/>
    <w:rsid w:val="00C30440"/>
    <w:rsid w:val="00C32DAF"/>
    <w:rsid w:val="00C343A3"/>
    <w:rsid w:val="00C37270"/>
    <w:rsid w:val="00C45F79"/>
    <w:rsid w:val="00C47642"/>
    <w:rsid w:val="00C52EFF"/>
    <w:rsid w:val="00C56223"/>
    <w:rsid w:val="00C60290"/>
    <w:rsid w:val="00C91FF4"/>
    <w:rsid w:val="00C94F48"/>
    <w:rsid w:val="00CA1145"/>
    <w:rsid w:val="00CA40EC"/>
    <w:rsid w:val="00CA7AD9"/>
    <w:rsid w:val="00CB5565"/>
    <w:rsid w:val="00CB6A04"/>
    <w:rsid w:val="00CC05AC"/>
    <w:rsid w:val="00CD7908"/>
    <w:rsid w:val="00CE2626"/>
    <w:rsid w:val="00CF06FD"/>
    <w:rsid w:val="00D24A9D"/>
    <w:rsid w:val="00D2695C"/>
    <w:rsid w:val="00D31D12"/>
    <w:rsid w:val="00D32A6A"/>
    <w:rsid w:val="00D36878"/>
    <w:rsid w:val="00D36BB2"/>
    <w:rsid w:val="00D41D6F"/>
    <w:rsid w:val="00D53B59"/>
    <w:rsid w:val="00D74267"/>
    <w:rsid w:val="00D9068E"/>
    <w:rsid w:val="00DA170E"/>
    <w:rsid w:val="00DA32FC"/>
    <w:rsid w:val="00DB0B9F"/>
    <w:rsid w:val="00DC735F"/>
    <w:rsid w:val="00DD060A"/>
    <w:rsid w:val="00DE794D"/>
    <w:rsid w:val="00E1228D"/>
    <w:rsid w:val="00E15523"/>
    <w:rsid w:val="00E23204"/>
    <w:rsid w:val="00E34D98"/>
    <w:rsid w:val="00E61F43"/>
    <w:rsid w:val="00E7559A"/>
    <w:rsid w:val="00E86153"/>
    <w:rsid w:val="00E87902"/>
    <w:rsid w:val="00E90986"/>
    <w:rsid w:val="00E94FB1"/>
    <w:rsid w:val="00E9769E"/>
    <w:rsid w:val="00EA26C6"/>
    <w:rsid w:val="00EB04ED"/>
    <w:rsid w:val="00EB4424"/>
    <w:rsid w:val="00EC08E2"/>
    <w:rsid w:val="00ED040E"/>
    <w:rsid w:val="00ED6086"/>
    <w:rsid w:val="00EE18BA"/>
    <w:rsid w:val="00EE633E"/>
    <w:rsid w:val="00EF33AE"/>
    <w:rsid w:val="00EF40DE"/>
    <w:rsid w:val="00F0475E"/>
    <w:rsid w:val="00F23BAC"/>
    <w:rsid w:val="00F33FA0"/>
    <w:rsid w:val="00F34C4A"/>
    <w:rsid w:val="00F34DC3"/>
    <w:rsid w:val="00F36C7D"/>
    <w:rsid w:val="00F43735"/>
    <w:rsid w:val="00F442A4"/>
    <w:rsid w:val="00F44D8D"/>
    <w:rsid w:val="00F475BA"/>
    <w:rsid w:val="00F53FD2"/>
    <w:rsid w:val="00F60971"/>
    <w:rsid w:val="00F628B5"/>
    <w:rsid w:val="00F704C5"/>
    <w:rsid w:val="00F71089"/>
    <w:rsid w:val="00F72F32"/>
    <w:rsid w:val="00F80AEA"/>
    <w:rsid w:val="00FA44D5"/>
    <w:rsid w:val="00FB0E47"/>
    <w:rsid w:val="00FB1DEA"/>
    <w:rsid w:val="00FB495A"/>
    <w:rsid w:val="00FC5CAE"/>
    <w:rsid w:val="00FD2C91"/>
    <w:rsid w:val="00FE20DD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9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51F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51F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9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9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990"/>
    <w:rPr>
      <w:sz w:val="18"/>
      <w:szCs w:val="18"/>
    </w:rPr>
  </w:style>
  <w:style w:type="table" w:styleId="-2">
    <w:name w:val="Light Shading Accent 2"/>
    <w:basedOn w:val="a1"/>
    <w:uiPriority w:val="60"/>
    <w:rsid w:val="002D16E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caption"/>
    <w:basedOn w:val="a"/>
    <w:next w:val="a"/>
    <w:uiPriority w:val="35"/>
    <w:unhideWhenUsed/>
    <w:qFormat/>
    <w:rsid w:val="000A268F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973F6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E53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531F"/>
    <w:rPr>
      <w:rFonts w:ascii="Calibri" w:eastAsia="宋体" w:hAnsi="Calibri" w:cs="Times New Roman"/>
      <w:sz w:val="18"/>
      <w:szCs w:val="18"/>
    </w:rPr>
  </w:style>
  <w:style w:type="table" w:styleId="1-2">
    <w:name w:val="Medium Shading 1 Accent 2"/>
    <w:basedOn w:val="a1"/>
    <w:uiPriority w:val="63"/>
    <w:rsid w:val="005C7D1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4F049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F049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F0498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F049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F0498"/>
    <w:rPr>
      <w:rFonts w:ascii="Calibri" w:eastAsia="宋体" w:hAnsi="Calibri" w:cs="Times New Roman"/>
      <w:b/>
      <w:bCs/>
    </w:rPr>
  </w:style>
  <w:style w:type="table" w:styleId="ab">
    <w:name w:val="Table Grid"/>
    <w:basedOn w:val="a1"/>
    <w:uiPriority w:val="59"/>
    <w:rsid w:val="005A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051F60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c">
    <w:name w:val="Subtitle"/>
    <w:basedOn w:val="a"/>
    <w:next w:val="a"/>
    <w:link w:val="Char4"/>
    <w:uiPriority w:val="11"/>
    <w:qFormat/>
    <w:rsid w:val="00051F6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c"/>
    <w:uiPriority w:val="11"/>
    <w:rsid w:val="00051F6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051F6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9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51F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51F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9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9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990"/>
    <w:rPr>
      <w:sz w:val="18"/>
      <w:szCs w:val="18"/>
    </w:rPr>
  </w:style>
  <w:style w:type="table" w:styleId="-2">
    <w:name w:val="Light Shading Accent 2"/>
    <w:basedOn w:val="a1"/>
    <w:uiPriority w:val="60"/>
    <w:rsid w:val="002D16E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caption"/>
    <w:basedOn w:val="a"/>
    <w:next w:val="a"/>
    <w:uiPriority w:val="35"/>
    <w:unhideWhenUsed/>
    <w:qFormat/>
    <w:rsid w:val="000A268F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973F6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E53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531F"/>
    <w:rPr>
      <w:rFonts w:ascii="Calibri" w:eastAsia="宋体" w:hAnsi="Calibri" w:cs="Times New Roman"/>
      <w:sz w:val="18"/>
      <w:szCs w:val="18"/>
    </w:rPr>
  </w:style>
  <w:style w:type="table" w:styleId="1-2">
    <w:name w:val="Medium Shading 1 Accent 2"/>
    <w:basedOn w:val="a1"/>
    <w:uiPriority w:val="63"/>
    <w:rsid w:val="005C7D1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4F049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F049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F0498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F049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F0498"/>
    <w:rPr>
      <w:rFonts w:ascii="Calibri" w:eastAsia="宋体" w:hAnsi="Calibri" w:cs="Times New Roman"/>
      <w:b/>
      <w:bCs/>
    </w:rPr>
  </w:style>
  <w:style w:type="table" w:styleId="ab">
    <w:name w:val="Table Grid"/>
    <w:basedOn w:val="a1"/>
    <w:uiPriority w:val="59"/>
    <w:rsid w:val="005A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051F60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c">
    <w:name w:val="Subtitle"/>
    <w:basedOn w:val="a"/>
    <w:next w:val="a"/>
    <w:link w:val="Char4"/>
    <w:uiPriority w:val="11"/>
    <w:qFormat/>
    <w:rsid w:val="00051F6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c"/>
    <w:uiPriority w:val="11"/>
    <w:rsid w:val="00051F6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051F6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6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26085;&#24120;&#24037;&#20316;&#36164;&#26009;&#27719;&#24635;\01.%20&#30740;&#31350;&#24037;&#20316;\01.%20&#30740;&#31350;&#25253;&#21578;\&#26376;&#25253;&#21450;&#24180;&#25253;\2017&#24180;\2&#26376;\&#23186;&#20307;&#31295;\&#23186;&#20307;&#31295;&#25968;&#25454;&#65288;2017.02&#652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6085;&#24120;&#24037;&#20316;&#36164;&#26009;&#27719;&#24635;\01.%20&#30740;&#31350;&#24037;&#20316;\01.%20&#30740;&#31350;&#25253;&#21578;\&#26376;&#25253;&#21450;&#24180;&#25253;\2017&#24180;\2&#26376;\&#23186;&#20307;&#31295;\&#23186;&#20307;&#31295;&#25968;&#25454;&#65288;2017.02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7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9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特殊数据!$B$1:$AY$1</c:f>
              <c:strCache>
                <c:ptCount val="49"/>
                <c:pt idx="0">
                  <c:v>2013</c:v>
                </c:pt>
                <c:pt idx="12">
                  <c:v>2014</c:v>
                </c:pt>
                <c:pt idx="24">
                  <c:v>2015</c:v>
                </c:pt>
                <c:pt idx="36">
                  <c:v>2016</c:v>
                </c:pt>
                <c:pt idx="48">
                  <c:v>2017</c:v>
                </c:pt>
              </c:strCache>
            </c:strRef>
          </c:cat>
          <c:val>
            <c:numRef>
              <c:f>特殊数据!$B$3:$AY$3</c:f>
              <c:numCache>
                <c:formatCode>0.00</c:formatCode>
                <c:ptCount val="50"/>
                <c:pt idx="0">
                  <c:v>95.646000000000001</c:v>
                </c:pt>
                <c:pt idx="1">
                  <c:v>64.609899999999996</c:v>
                </c:pt>
                <c:pt idx="2">
                  <c:v>38.99061789000001</c:v>
                </c:pt>
                <c:pt idx="3">
                  <c:v>67.725300000000004</c:v>
                </c:pt>
                <c:pt idx="4">
                  <c:v>33.546499999999995</c:v>
                </c:pt>
                <c:pt idx="5">
                  <c:v>43.105393350000099</c:v>
                </c:pt>
                <c:pt idx="6">
                  <c:v>58.537100000000002</c:v>
                </c:pt>
                <c:pt idx="7">
                  <c:v>91.470699999999994</c:v>
                </c:pt>
                <c:pt idx="8">
                  <c:v>87.599800000000002</c:v>
                </c:pt>
                <c:pt idx="9">
                  <c:v>113.49000000000001</c:v>
                </c:pt>
                <c:pt idx="10">
                  <c:v>133.7227</c:v>
                </c:pt>
                <c:pt idx="11">
                  <c:v>109.8493</c:v>
                </c:pt>
                <c:pt idx="12">
                  <c:v>70.434100000000001</c:v>
                </c:pt>
                <c:pt idx="13">
                  <c:v>20.231000000000002</c:v>
                </c:pt>
                <c:pt idx="14">
                  <c:v>91.234499999999997</c:v>
                </c:pt>
                <c:pt idx="15">
                  <c:v>97.986500000000007</c:v>
                </c:pt>
                <c:pt idx="16">
                  <c:v>137.24860000000001</c:v>
                </c:pt>
                <c:pt idx="17">
                  <c:v>121.842</c:v>
                </c:pt>
                <c:pt idx="18">
                  <c:v>72.8322</c:v>
                </c:pt>
                <c:pt idx="19">
                  <c:v>81.5227</c:v>
                </c:pt>
                <c:pt idx="20">
                  <c:v>147.13149999999999</c:v>
                </c:pt>
                <c:pt idx="21">
                  <c:v>115.8215</c:v>
                </c:pt>
                <c:pt idx="22">
                  <c:v>134.70760000000001</c:v>
                </c:pt>
                <c:pt idx="23">
                  <c:v>108.5136</c:v>
                </c:pt>
                <c:pt idx="24">
                  <c:v>54.0137</c:v>
                </c:pt>
                <c:pt idx="25">
                  <c:v>96.811199999999999</c:v>
                </c:pt>
                <c:pt idx="26">
                  <c:v>21.116900000000001</c:v>
                </c:pt>
                <c:pt idx="27">
                  <c:v>99.313100000000006</c:v>
                </c:pt>
                <c:pt idx="28">
                  <c:v>96.856999999999999</c:v>
                </c:pt>
                <c:pt idx="29">
                  <c:v>79.102800000000002</c:v>
                </c:pt>
                <c:pt idx="30">
                  <c:v>65.139300000000006</c:v>
                </c:pt>
                <c:pt idx="31">
                  <c:v>84.713999999999999</c:v>
                </c:pt>
                <c:pt idx="32">
                  <c:v>146.93170000000001</c:v>
                </c:pt>
                <c:pt idx="33">
                  <c:v>84.676100000000005</c:v>
                </c:pt>
                <c:pt idx="34">
                  <c:v>92.53</c:v>
                </c:pt>
                <c:pt idx="35">
                  <c:v>119.03</c:v>
                </c:pt>
                <c:pt idx="36">
                  <c:v>68.17</c:v>
                </c:pt>
                <c:pt idx="37">
                  <c:v>33.4</c:v>
                </c:pt>
                <c:pt idx="38">
                  <c:v>50.18</c:v>
                </c:pt>
                <c:pt idx="39">
                  <c:v>96.78</c:v>
                </c:pt>
                <c:pt idx="40">
                  <c:v>102.18</c:v>
                </c:pt>
                <c:pt idx="41">
                  <c:v>91.674499999999995</c:v>
                </c:pt>
                <c:pt idx="42">
                  <c:v>65.9435</c:v>
                </c:pt>
                <c:pt idx="43">
                  <c:v>96.066400000000002</c:v>
                </c:pt>
                <c:pt idx="44">
                  <c:v>97.843599999999995</c:v>
                </c:pt>
                <c:pt idx="45">
                  <c:v>81.383799999999994</c:v>
                </c:pt>
                <c:pt idx="46">
                  <c:v>120.8467</c:v>
                </c:pt>
                <c:pt idx="47">
                  <c:v>87.810500000000005</c:v>
                </c:pt>
                <c:pt idx="48">
                  <c:v>53.715300000000006</c:v>
                </c:pt>
                <c:pt idx="49">
                  <c:v>5.3597000000000001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756864"/>
        <c:axId val="118768000"/>
      </c:barChart>
      <c:catAx>
        <c:axId val="1187568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zh-CN" altLang="en-US" b="0"/>
                  <a:t>数据来源：广州中原研究发展部、阳光家缘</a:t>
                </a:r>
              </a:p>
            </c:rich>
          </c:tx>
          <c:layout>
            <c:manualLayout>
              <c:xMode val="edge"/>
              <c:yMode val="edge"/>
              <c:x val="0.89021238768511601"/>
              <c:y val="0.92592592592592593"/>
            </c:manualLayout>
          </c:layout>
          <c:overlay val="0"/>
        </c:title>
        <c:majorTickMark val="out"/>
        <c:minorTickMark val="none"/>
        <c:tickLblPos val="nextTo"/>
        <c:crossAx val="118768000"/>
        <c:crosses val="autoZero"/>
        <c:auto val="1"/>
        <c:lblAlgn val="ctr"/>
        <c:lblOffset val="100"/>
        <c:noMultiLvlLbl val="0"/>
      </c:catAx>
      <c:valAx>
        <c:axId val="118768000"/>
        <c:scaling>
          <c:orientation val="minMax"/>
        </c:scaling>
        <c:delete val="0"/>
        <c:axPos val="l"/>
        <c:numFmt formatCode="#,##0_ " sourceLinked="0"/>
        <c:majorTickMark val="out"/>
        <c:minorTickMark val="none"/>
        <c:tickLblPos val="nextTo"/>
        <c:crossAx val="1187568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876954732510295E-2"/>
          <c:y val="9.3271367521367513E-2"/>
          <c:w val="0.82555349794238686"/>
          <c:h val="0.610377350427350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标准格式!$A$61</c:f>
              <c:strCache>
                <c:ptCount val="1"/>
                <c:pt idx="0">
                  <c:v>库存面积-万㎡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.108547008547008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7136752136752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5.2263374485596705E-3"/>
                  <c:y val="3.7991452991452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zh-CN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标准格式!$B$59:$N$60</c:f>
              <c:multiLvlStrCache>
                <c:ptCount val="13"/>
                <c:lvl>
                  <c:pt idx="0">
                    <c:v>02</c:v>
                  </c:pt>
                  <c:pt idx="1">
                    <c:v>03</c:v>
                  </c:pt>
                  <c:pt idx="2">
                    <c:v>04</c:v>
                  </c:pt>
                  <c:pt idx="3">
                    <c:v>05</c:v>
                  </c:pt>
                  <c:pt idx="4">
                    <c:v>06</c:v>
                  </c:pt>
                  <c:pt idx="5">
                    <c:v>07</c:v>
                  </c:pt>
                  <c:pt idx="6">
                    <c:v>08</c:v>
                  </c:pt>
                  <c:pt idx="7">
                    <c:v>09</c:v>
                  </c:pt>
                  <c:pt idx="8">
                    <c:v>10</c:v>
                  </c:pt>
                  <c:pt idx="9">
                    <c:v>11</c:v>
                  </c:pt>
                  <c:pt idx="10">
                    <c:v>12</c:v>
                  </c:pt>
                  <c:pt idx="11">
                    <c:v>01</c:v>
                  </c:pt>
                  <c:pt idx="12">
                    <c:v>02</c:v>
                  </c:pt>
                </c:lvl>
                <c:lvl>
                  <c:pt idx="0">
                    <c:v>2016</c:v>
                  </c:pt>
                  <c:pt idx="11">
                    <c:v>2017</c:v>
                  </c:pt>
                </c:lvl>
              </c:multiLvlStrCache>
            </c:multiLvlStrRef>
          </c:cat>
          <c:val>
            <c:numRef>
              <c:f>标准格式!$B$61:$N$61</c:f>
              <c:numCache>
                <c:formatCode>0.00</c:formatCode>
                <c:ptCount val="13"/>
                <c:pt idx="0">
                  <c:v>881.38640464999992</c:v>
                </c:pt>
                <c:pt idx="1">
                  <c:v>864.16589859999999</c:v>
                </c:pt>
                <c:pt idx="2">
                  <c:v>860.80325065</c:v>
                </c:pt>
                <c:pt idx="3">
                  <c:v>853.47981784000012</c:v>
                </c:pt>
                <c:pt idx="4">
                  <c:v>854.43920000000003</c:v>
                </c:pt>
                <c:pt idx="5">
                  <c:v>822.9837</c:v>
                </c:pt>
                <c:pt idx="6">
                  <c:v>830.02833672000008</c:v>
                </c:pt>
                <c:pt idx="7">
                  <c:v>805.09163878999993</c:v>
                </c:pt>
                <c:pt idx="8">
                  <c:v>751.85653276000016</c:v>
                </c:pt>
                <c:pt idx="9">
                  <c:v>774.19744503000004</c:v>
                </c:pt>
                <c:pt idx="10">
                  <c:v>739.0280332399999</c:v>
                </c:pt>
                <c:pt idx="11">
                  <c:v>699.98571197999991</c:v>
                </c:pt>
                <c:pt idx="12">
                  <c:v>610.46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783360"/>
        <c:axId val="118785536"/>
      </c:barChart>
      <c:lineChart>
        <c:grouping val="standard"/>
        <c:varyColors val="0"/>
        <c:ser>
          <c:idx val="1"/>
          <c:order val="1"/>
          <c:tx>
            <c:strRef>
              <c:f>标准格式!$A$62</c:f>
              <c:strCache>
                <c:ptCount val="1"/>
                <c:pt idx="0">
                  <c:v>库存消化周期（月）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1109876543209878E-2"/>
                  <c:y val="-6.1793589743589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zh-CN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标准格式!$B$59:$N$60</c:f>
              <c:multiLvlStrCache>
                <c:ptCount val="13"/>
                <c:lvl>
                  <c:pt idx="0">
                    <c:v>02</c:v>
                  </c:pt>
                  <c:pt idx="1">
                    <c:v>03</c:v>
                  </c:pt>
                  <c:pt idx="2">
                    <c:v>04</c:v>
                  </c:pt>
                  <c:pt idx="3">
                    <c:v>05</c:v>
                  </c:pt>
                  <c:pt idx="4">
                    <c:v>06</c:v>
                  </c:pt>
                  <c:pt idx="5">
                    <c:v>07</c:v>
                  </c:pt>
                  <c:pt idx="6">
                    <c:v>08</c:v>
                  </c:pt>
                  <c:pt idx="7">
                    <c:v>09</c:v>
                  </c:pt>
                  <c:pt idx="8">
                    <c:v>10</c:v>
                  </c:pt>
                  <c:pt idx="9">
                    <c:v>11</c:v>
                  </c:pt>
                  <c:pt idx="10">
                    <c:v>12</c:v>
                  </c:pt>
                  <c:pt idx="11">
                    <c:v>01</c:v>
                  </c:pt>
                  <c:pt idx="12">
                    <c:v>02</c:v>
                  </c:pt>
                </c:lvl>
                <c:lvl>
                  <c:pt idx="0">
                    <c:v>2016</c:v>
                  </c:pt>
                  <c:pt idx="11">
                    <c:v>2017</c:v>
                  </c:pt>
                </c:lvl>
              </c:multiLvlStrCache>
            </c:multiLvlStrRef>
          </c:cat>
          <c:val>
            <c:numRef>
              <c:f>标准格式!$B$62:$N$62</c:f>
              <c:numCache>
                <c:formatCode>0.0</c:formatCode>
                <c:ptCount val="13"/>
                <c:pt idx="0">
                  <c:v>9.6001249428153912</c:v>
                </c:pt>
                <c:pt idx="1">
                  <c:v>9.2443385808117657</c:v>
                </c:pt>
                <c:pt idx="2">
                  <c:v>8.7301340818157946</c:v>
                </c:pt>
                <c:pt idx="3">
                  <c:v>8.0759716984969963</c:v>
                </c:pt>
                <c:pt idx="4">
                  <c:v>8.0519076315383931</c:v>
                </c:pt>
                <c:pt idx="5">
                  <c:v>7.5848702036803779</c:v>
                </c:pt>
                <c:pt idx="6">
                  <c:v>6.9889275875270158</c:v>
                </c:pt>
                <c:pt idx="7">
                  <c:v>6.3878417803784648</c:v>
                </c:pt>
                <c:pt idx="8">
                  <c:v>5.6387830261243472</c:v>
                </c:pt>
                <c:pt idx="9">
                  <c:v>6.0742012581792508</c:v>
                </c:pt>
                <c:pt idx="10">
                  <c:v>5.6913249726482773</c:v>
                </c:pt>
                <c:pt idx="11">
                  <c:v>5.4661017619948238</c:v>
                </c:pt>
                <c:pt idx="12">
                  <c:v>5.117802400480655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788864"/>
        <c:axId val="118787072"/>
      </c:lineChart>
      <c:catAx>
        <c:axId val="118783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zh-CN" altLang="en-US" b="0"/>
                  <a:t>数据来源：广州中原研究发展部</a:t>
                </a:r>
              </a:p>
            </c:rich>
          </c:tx>
          <c:layout>
            <c:manualLayout>
              <c:xMode val="edge"/>
              <c:yMode val="edge"/>
              <c:x val="0.85217016460905348"/>
              <c:y val="0.91316239316239312"/>
            </c:manualLayout>
          </c:layout>
          <c:overlay val="0"/>
        </c:title>
        <c:majorTickMark val="out"/>
        <c:minorTickMark val="none"/>
        <c:tickLblPos val="nextTo"/>
        <c:crossAx val="118785536"/>
        <c:crosses val="autoZero"/>
        <c:auto val="1"/>
        <c:lblAlgn val="ctr"/>
        <c:lblOffset val="100"/>
        <c:noMultiLvlLbl val="0"/>
      </c:catAx>
      <c:valAx>
        <c:axId val="118785536"/>
        <c:scaling>
          <c:orientation val="minMax"/>
        </c:scaling>
        <c:delete val="0"/>
        <c:axPos val="l"/>
        <c:numFmt formatCode="#,##0_ " sourceLinked="0"/>
        <c:majorTickMark val="out"/>
        <c:minorTickMark val="none"/>
        <c:tickLblPos val="nextTo"/>
        <c:crossAx val="118783360"/>
        <c:crosses val="autoZero"/>
        <c:crossBetween val="between"/>
      </c:valAx>
      <c:valAx>
        <c:axId val="118787072"/>
        <c:scaling>
          <c:orientation val="minMax"/>
        </c:scaling>
        <c:delete val="0"/>
        <c:axPos val="r"/>
        <c:numFmt formatCode="0.0" sourceLinked="1"/>
        <c:majorTickMark val="out"/>
        <c:minorTickMark val="none"/>
        <c:tickLblPos val="nextTo"/>
        <c:crossAx val="118788864"/>
        <c:crosses val="max"/>
        <c:crossBetween val="between"/>
      </c:valAx>
      <c:catAx>
        <c:axId val="118788864"/>
        <c:scaling>
          <c:orientation val="minMax"/>
        </c:scaling>
        <c:delete val="1"/>
        <c:axPos val="b"/>
        <c:majorTickMark val="out"/>
        <c:minorTickMark val="none"/>
        <c:tickLblPos val="nextTo"/>
        <c:crossAx val="118787072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0.07007</cdr:x>
      <cdr:y>0.01215</cdr:y>
    </cdr:from>
    <cdr:to>
      <cdr:x>0.11825</cdr:x>
      <cdr:y>0.07813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457201" y="33338"/>
          <a:ext cx="314325" cy="1809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none" lIns="0" tIns="0" rIns="0" bIns="0" anchor="ctr" anchorCtr="0"/>
        <a:lstStyle xmlns:a="http://schemas.openxmlformats.org/drawingml/2006/main"/>
        <a:p xmlns:a="http://schemas.openxmlformats.org/drawingml/2006/main">
          <a:r>
            <a:rPr lang="zh-CN" altLang="en-US" sz="1000">
              <a:solidFill>
                <a:schemeClr val="tx1"/>
              </a:solidFill>
              <a:latin typeface="+mn-ea"/>
              <a:ea typeface="+mn-ea"/>
            </a:rPr>
            <a:t>万㎡</a:t>
          </a:r>
          <a:endParaRPr lang="zh-CN" sz="1000">
            <a:solidFill>
              <a:schemeClr val="tx1"/>
            </a:solidFill>
            <a:latin typeface="+mn-ea"/>
            <a:ea typeface="+mn-ea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7E7C-F8FC-4954-995D-4B9274E7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2936</Characters>
  <Application>Microsoft Office Word</Application>
  <DocSecurity>0</DocSecurity>
  <Lines>24</Lines>
  <Paragraphs>6</Paragraphs>
  <ScaleCrop>false</ScaleCrop>
  <Company>22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ADMR13刘慧贤</dc:creator>
  <cp:lastModifiedBy>ADMP02何嘉丽</cp:lastModifiedBy>
  <cp:revision>3</cp:revision>
  <cp:lastPrinted>2017-02-06T02:02:00Z</cp:lastPrinted>
  <dcterms:created xsi:type="dcterms:W3CDTF">2017-03-01T07:37:00Z</dcterms:created>
  <dcterms:modified xsi:type="dcterms:W3CDTF">2017-03-01T07:37:00Z</dcterms:modified>
</cp:coreProperties>
</file>